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Pr="00B425A2" w:rsidRDefault="004C7419" w:rsidP="00652EFD">
      <w:pPr>
        <w:pStyle w:val="Titul2"/>
      </w:pPr>
      <w:r>
        <w:t xml:space="preserve">Záměr projektu a </w:t>
      </w:r>
      <w:r w:rsidR="0076241C">
        <w:t>D</w:t>
      </w:r>
      <w:r w:rsidR="00652EFD">
        <w:t xml:space="preserve">okumentace pro </w:t>
      </w:r>
      <w:r w:rsidR="0076241C">
        <w:t xml:space="preserve">územní </w:t>
      </w:r>
      <w:r w:rsidR="0076241C" w:rsidRPr="00B425A2">
        <w:t>řízení</w:t>
      </w:r>
    </w:p>
    <w:p w:rsidR="0076241C" w:rsidRPr="00B425A2" w:rsidRDefault="0076241C" w:rsidP="00EB46E5">
      <w:pPr>
        <w:pStyle w:val="Titul2"/>
      </w:pPr>
    </w:p>
    <w:p w:rsidR="0035531B" w:rsidRDefault="0035531B" w:rsidP="00EB46E5">
      <w:pPr>
        <w:pStyle w:val="Titul2"/>
      </w:pPr>
      <w:r w:rsidRPr="00B425A2">
        <w:t>„</w:t>
      </w:r>
      <w:r w:rsidR="00B425A2" w:rsidRPr="00B425A2">
        <w:t>GSM-R + ETC</w:t>
      </w:r>
      <w:r w:rsidR="008A121B">
        <w:t>S</w:t>
      </w:r>
      <w:r w:rsidR="00B425A2" w:rsidRPr="00B425A2">
        <w:t xml:space="preserve"> Hranice na Moravě – Horní Lideč - Střelná</w:t>
      </w:r>
      <w:r w:rsidRPr="00B425A2">
        <w:t>“</w:t>
      </w:r>
    </w:p>
    <w:p w:rsidR="00AD0C7B" w:rsidRPr="006C2343" w:rsidRDefault="00AD0C7B" w:rsidP="00EB46E5">
      <w:pPr>
        <w:pStyle w:val="Titul2"/>
      </w:pPr>
    </w:p>
    <w:p w:rsidR="00826B7B" w:rsidRDefault="000E125F" w:rsidP="00F93589">
      <w:pPr>
        <w:pStyle w:val="Text1-1"/>
        <w:numPr>
          <w:ilvl w:val="0"/>
          <w:numId w:val="0"/>
        </w:numPr>
        <w:tabs>
          <w:tab w:val="left" w:pos="708"/>
        </w:tabs>
        <w:ind w:left="737" w:hanging="737"/>
      </w:pPr>
      <w:r>
        <w:t xml:space="preserve">Č.j. </w:t>
      </w:r>
      <w:r w:rsidR="00F93589">
        <w:t>24089/2020-SŽ-SSZ-OVZ</w:t>
      </w:r>
    </w:p>
    <w:p w:rsidR="00F93589" w:rsidRDefault="00F93589" w:rsidP="00F93589">
      <w:pPr>
        <w:pStyle w:val="Text1-1"/>
        <w:numPr>
          <w:ilvl w:val="0"/>
          <w:numId w:val="0"/>
        </w:numPr>
        <w:tabs>
          <w:tab w:val="left" w:pos="708"/>
        </w:tabs>
        <w:ind w:left="737" w:hanging="737"/>
      </w:pPr>
    </w:p>
    <w:p w:rsidR="00F93589" w:rsidRDefault="00F93589" w:rsidP="00F93589">
      <w:pPr>
        <w:pStyle w:val="Text1-1"/>
        <w:numPr>
          <w:ilvl w:val="0"/>
          <w:numId w:val="0"/>
        </w:numPr>
        <w:tabs>
          <w:tab w:val="left" w:pos="708"/>
        </w:tabs>
        <w:ind w:left="737" w:hanging="737"/>
      </w:pPr>
    </w:p>
    <w:p w:rsidR="00F93589" w:rsidRDefault="00F93589" w:rsidP="00F93589">
      <w:pPr>
        <w:pStyle w:val="Text1-1"/>
        <w:numPr>
          <w:ilvl w:val="0"/>
          <w:numId w:val="0"/>
        </w:numPr>
        <w:tabs>
          <w:tab w:val="left" w:pos="708"/>
        </w:tabs>
        <w:ind w:left="737" w:hanging="737"/>
      </w:pPr>
    </w:p>
    <w:p w:rsidR="00F93589" w:rsidRDefault="00F93589" w:rsidP="00F93589">
      <w:pPr>
        <w:pStyle w:val="Text1-1"/>
        <w:numPr>
          <w:ilvl w:val="0"/>
          <w:numId w:val="0"/>
        </w:numPr>
        <w:tabs>
          <w:tab w:val="left" w:pos="708"/>
        </w:tabs>
        <w:ind w:left="737" w:hanging="737"/>
      </w:pPr>
    </w:p>
    <w:p w:rsidR="00F93589" w:rsidRDefault="00F93589" w:rsidP="00F93589">
      <w:pPr>
        <w:pStyle w:val="Text1-1"/>
        <w:numPr>
          <w:ilvl w:val="0"/>
          <w:numId w:val="0"/>
        </w:numPr>
        <w:tabs>
          <w:tab w:val="left" w:pos="708"/>
        </w:tabs>
        <w:ind w:left="737" w:hanging="737"/>
      </w:pPr>
    </w:p>
    <w:p w:rsidR="00F93589" w:rsidRDefault="00F93589" w:rsidP="00F93589">
      <w:pPr>
        <w:pStyle w:val="Text1-1"/>
        <w:numPr>
          <w:ilvl w:val="0"/>
          <w:numId w:val="0"/>
        </w:numPr>
        <w:tabs>
          <w:tab w:val="left" w:pos="708"/>
        </w:tabs>
        <w:ind w:left="737" w:hanging="737"/>
      </w:pPr>
    </w:p>
    <w:p w:rsidR="00BD7E91" w:rsidRDefault="00BD7E91" w:rsidP="00FE4333">
      <w:pPr>
        <w:pStyle w:val="Nadpisbezsl1-1"/>
      </w:pPr>
      <w:r>
        <w:lastRenderedPageBreak/>
        <w:t>Obsah</w:t>
      </w:r>
      <w:r w:rsidR="00887F36">
        <w:t xml:space="preserve"> </w:t>
      </w:r>
    </w:p>
    <w:p w:rsidR="00B03E9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47731" w:history="1">
        <w:r w:rsidR="00B03E98" w:rsidRPr="00356770">
          <w:rPr>
            <w:rStyle w:val="Hypertextovodkaz"/>
          </w:rPr>
          <w:t>1.</w:t>
        </w:r>
        <w:r w:rsidR="00B03E98">
          <w:rPr>
            <w:rFonts w:eastAsiaTheme="minorEastAsia"/>
            <w:caps w:val="0"/>
            <w:noProof/>
            <w:sz w:val="22"/>
            <w:szCs w:val="22"/>
            <w:lang w:eastAsia="cs-CZ"/>
          </w:rPr>
          <w:tab/>
        </w:r>
        <w:r w:rsidR="00B03E98" w:rsidRPr="00356770">
          <w:rPr>
            <w:rStyle w:val="Hypertextovodkaz"/>
          </w:rPr>
          <w:t>ÚVODNÍ USTANOVENÍ</w:t>
        </w:r>
        <w:r w:rsidR="00B03E98">
          <w:rPr>
            <w:noProof/>
            <w:webHidden/>
          </w:rPr>
          <w:tab/>
        </w:r>
        <w:r w:rsidR="00B03E98">
          <w:rPr>
            <w:noProof/>
            <w:webHidden/>
          </w:rPr>
          <w:fldChar w:fldCharType="begin"/>
        </w:r>
        <w:r w:rsidR="00B03E98">
          <w:rPr>
            <w:noProof/>
            <w:webHidden/>
          </w:rPr>
          <w:instrText xml:space="preserve"> PAGEREF _Toc47947731 \h </w:instrText>
        </w:r>
        <w:r w:rsidR="00B03E98">
          <w:rPr>
            <w:noProof/>
            <w:webHidden/>
          </w:rPr>
        </w:r>
        <w:r w:rsidR="00B03E98">
          <w:rPr>
            <w:noProof/>
            <w:webHidden/>
          </w:rPr>
          <w:fldChar w:fldCharType="separate"/>
        </w:r>
        <w:r w:rsidR="00FF06A7">
          <w:rPr>
            <w:noProof/>
            <w:webHidden/>
          </w:rPr>
          <w:t>3</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2" w:history="1">
        <w:r w:rsidR="00B03E98" w:rsidRPr="00356770">
          <w:rPr>
            <w:rStyle w:val="Hypertextovodkaz"/>
          </w:rPr>
          <w:t>2.</w:t>
        </w:r>
        <w:r w:rsidR="00B03E98">
          <w:rPr>
            <w:rFonts w:eastAsiaTheme="minorEastAsia"/>
            <w:caps w:val="0"/>
            <w:noProof/>
            <w:sz w:val="22"/>
            <w:szCs w:val="22"/>
            <w:lang w:eastAsia="cs-CZ"/>
          </w:rPr>
          <w:tab/>
        </w:r>
        <w:r w:rsidR="00B03E98" w:rsidRPr="00356770">
          <w:rPr>
            <w:rStyle w:val="Hypertextovodkaz"/>
          </w:rPr>
          <w:t>IDENTIFIKAČNÍ ÚDAJE ZADAVATELE</w:t>
        </w:r>
        <w:r w:rsidR="00B03E98">
          <w:rPr>
            <w:noProof/>
            <w:webHidden/>
          </w:rPr>
          <w:tab/>
        </w:r>
        <w:r w:rsidR="00B03E98">
          <w:rPr>
            <w:noProof/>
            <w:webHidden/>
          </w:rPr>
          <w:fldChar w:fldCharType="begin"/>
        </w:r>
        <w:r w:rsidR="00B03E98">
          <w:rPr>
            <w:noProof/>
            <w:webHidden/>
          </w:rPr>
          <w:instrText xml:space="preserve"> PAGEREF _Toc47947732 \h </w:instrText>
        </w:r>
        <w:r w:rsidR="00B03E98">
          <w:rPr>
            <w:noProof/>
            <w:webHidden/>
          </w:rPr>
        </w:r>
        <w:r w:rsidR="00B03E98">
          <w:rPr>
            <w:noProof/>
            <w:webHidden/>
          </w:rPr>
          <w:fldChar w:fldCharType="separate"/>
        </w:r>
        <w:r w:rsidR="00FF06A7">
          <w:rPr>
            <w:noProof/>
            <w:webHidden/>
          </w:rPr>
          <w:t>3</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3" w:history="1">
        <w:r w:rsidR="00B03E98" w:rsidRPr="00356770">
          <w:rPr>
            <w:rStyle w:val="Hypertextovodkaz"/>
          </w:rPr>
          <w:t>3.</w:t>
        </w:r>
        <w:r w:rsidR="00B03E98">
          <w:rPr>
            <w:rFonts w:eastAsiaTheme="minorEastAsia"/>
            <w:caps w:val="0"/>
            <w:noProof/>
            <w:sz w:val="22"/>
            <w:szCs w:val="22"/>
            <w:lang w:eastAsia="cs-CZ"/>
          </w:rPr>
          <w:tab/>
        </w:r>
        <w:r w:rsidR="00B03E98" w:rsidRPr="00356770">
          <w:rPr>
            <w:rStyle w:val="Hypertextovodkaz"/>
          </w:rPr>
          <w:t>KOMUNIKACE MEZI ZADAVATELEM a DODAVATELEM</w:t>
        </w:r>
        <w:r w:rsidR="00B03E98">
          <w:rPr>
            <w:noProof/>
            <w:webHidden/>
          </w:rPr>
          <w:tab/>
        </w:r>
        <w:r w:rsidR="00B03E98">
          <w:rPr>
            <w:noProof/>
            <w:webHidden/>
          </w:rPr>
          <w:fldChar w:fldCharType="begin"/>
        </w:r>
        <w:r w:rsidR="00B03E98">
          <w:rPr>
            <w:noProof/>
            <w:webHidden/>
          </w:rPr>
          <w:instrText xml:space="preserve"> PAGEREF _Toc47947733 \h </w:instrText>
        </w:r>
        <w:r w:rsidR="00B03E98">
          <w:rPr>
            <w:noProof/>
            <w:webHidden/>
          </w:rPr>
        </w:r>
        <w:r w:rsidR="00B03E98">
          <w:rPr>
            <w:noProof/>
            <w:webHidden/>
          </w:rPr>
          <w:fldChar w:fldCharType="separate"/>
        </w:r>
        <w:r w:rsidR="00FF06A7">
          <w:rPr>
            <w:noProof/>
            <w:webHidden/>
          </w:rPr>
          <w:t>4</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4" w:history="1">
        <w:r w:rsidR="00B03E98" w:rsidRPr="00356770">
          <w:rPr>
            <w:rStyle w:val="Hypertextovodkaz"/>
          </w:rPr>
          <w:t>4.</w:t>
        </w:r>
        <w:r w:rsidR="00B03E98">
          <w:rPr>
            <w:rFonts w:eastAsiaTheme="minorEastAsia"/>
            <w:caps w:val="0"/>
            <w:noProof/>
            <w:sz w:val="22"/>
            <w:szCs w:val="22"/>
            <w:lang w:eastAsia="cs-CZ"/>
          </w:rPr>
          <w:tab/>
        </w:r>
        <w:r w:rsidR="00B03E98" w:rsidRPr="00356770">
          <w:rPr>
            <w:rStyle w:val="Hypertextovodkaz"/>
          </w:rPr>
          <w:t>ÚČEL a PŘEDMĚT PLNĚNÍ VEŘEJNÉ ZAKÁZKY</w:t>
        </w:r>
        <w:r w:rsidR="00B03E98">
          <w:rPr>
            <w:noProof/>
            <w:webHidden/>
          </w:rPr>
          <w:tab/>
        </w:r>
        <w:r w:rsidR="00B03E98">
          <w:rPr>
            <w:noProof/>
            <w:webHidden/>
          </w:rPr>
          <w:fldChar w:fldCharType="begin"/>
        </w:r>
        <w:r w:rsidR="00B03E98">
          <w:rPr>
            <w:noProof/>
            <w:webHidden/>
          </w:rPr>
          <w:instrText xml:space="preserve"> PAGEREF _Toc47947734 \h </w:instrText>
        </w:r>
        <w:r w:rsidR="00B03E98">
          <w:rPr>
            <w:noProof/>
            <w:webHidden/>
          </w:rPr>
        </w:r>
        <w:r w:rsidR="00B03E98">
          <w:rPr>
            <w:noProof/>
            <w:webHidden/>
          </w:rPr>
          <w:fldChar w:fldCharType="separate"/>
        </w:r>
        <w:r w:rsidR="00FF06A7">
          <w:rPr>
            <w:noProof/>
            <w:webHidden/>
          </w:rPr>
          <w:t>4</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5" w:history="1">
        <w:r w:rsidR="00B03E98" w:rsidRPr="00356770">
          <w:rPr>
            <w:rStyle w:val="Hypertextovodkaz"/>
          </w:rPr>
          <w:t>5.</w:t>
        </w:r>
        <w:r w:rsidR="00B03E98">
          <w:rPr>
            <w:rFonts w:eastAsiaTheme="minorEastAsia"/>
            <w:caps w:val="0"/>
            <w:noProof/>
            <w:sz w:val="22"/>
            <w:szCs w:val="22"/>
            <w:lang w:eastAsia="cs-CZ"/>
          </w:rPr>
          <w:tab/>
        </w:r>
        <w:r w:rsidR="00B03E98" w:rsidRPr="00356770">
          <w:rPr>
            <w:rStyle w:val="Hypertextovodkaz"/>
          </w:rPr>
          <w:t>ZDROJE FINANCOVÁNÍ a PŘEDPOKLÁDANÁ HODNOTA VEŘEJNÉ ZAKÁZKY</w:t>
        </w:r>
        <w:r w:rsidR="00B03E98">
          <w:rPr>
            <w:noProof/>
            <w:webHidden/>
          </w:rPr>
          <w:tab/>
        </w:r>
        <w:r w:rsidR="00B03E98">
          <w:rPr>
            <w:noProof/>
            <w:webHidden/>
          </w:rPr>
          <w:fldChar w:fldCharType="begin"/>
        </w:r>
        <w:r w:rsidR="00B03E98">
          <w:rPr>
            <w:noProof/>
            <w:webHidden/>
          </w:rPr>
          <w:instrText xml:space="preserve"> PAGEREF _Toc47947735 \h </w:instrText>
        </w:r>
        <w:r w:rsidR="00B03E98">
          <w:rPr>
            <w:noProof/>
            <w:webHidden/>
          </w:rPr>
        </w:r>
        <w:r w:rsidR="00B03E98">
          <w:rPr>
            <w:noProof/>
            <w:webHidden/>
          </w:rPr>
          <w:fldChar w:fldCharType="separate"/>
        </w:r>
        <w:r w:rsidR="00FF06A7">
          <w:rPr>
            <w:noProof/>
            <w:webHidden/>
          </w:rPr>
          <w:t>5</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6" w:history="1">
        <w:r w:rsidR="00B03E98" w:rsidRPr="00356770">
          <w:rPr>
            <w:rStyle w:val="Hypertextovodkaz"/>
          </w:rPr>
          <w:t>6.</w:t>
        </w:r>
        <w:r w:rsidR="00B03E98">
          <w:rPr>
            <w:rFonts w:eastAsiaTheme="minorEastAsia"/>
            <w:caps w:val="0"/>
            <w:noProof/>
            <w:sz w:val="22"/>
            <w:szCs w:val="22"/>
            <w:lang w:eastAsia="cs-CZ"/>
          </w:rPr>
          <w:tab/>
        </w:r>
        <w:r w:rsidR="00B03E98" w:rsidRPr="00356770">
          <w:rPr>
            <w:rStyle w:val="Hypertextovodkaz"/>
          </w:rPr>
          <w:t>OBSAH ZADÁVACÍ DOKUMENTACE</w:t>
        </w:r>
        <w:r w:rsidR="00B03E98">
          <w:rPr>
            <w:noProof/>
            <w:webHidden/>
          </w:rPr>
          <w:tab/>
        </w:r>
        <w:r w:rsidR="00B03E98">
          <w:rPr>
            <w:noProof/>
            <w:webHidden/>
          </w:rPr>
          <w:fldChar w:fldCharType="begin"/>
        </w:r>
        <w:r w:rsidR="00B03E98">
          <w:rPr>
            <w:noProof/>
            <w:webHidden/>
          </w:rPr>
          <w:instrText xml:space="preserve"> PAGEREF _Toc47947736 \h </w:instrText>
        </w:r>
        <w:r w:rsidR="00B03E98">
          <w:rPr>
            <w:noProof/>
            <w:webHidden/>
          </w:rPr>
        </w:r>
        <w:r w:rsidR="00B03E98">
          <w:rPr>
            <w:noProof/>
            <w:webHidden/>
          </w:rPr>
          <w:fldChar w:fldCharType="separate"/>
        </w:r>
        <w:r w:rsidR="00FF06A7">
          <w:rPr>
            <w:noProof/>
            <w:webHidden/>
          </w:rPr>
          <w:t>5</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7" w:history="1">
        <w:r w:rsidR="00B03E98" w:rsidRPr="00356770">
          <w:rPr>
            <w:rStyle w:val="Hypertextovodkaz"/>
          </w:rPr>
          <w:t>7.</w:t>
        </w:r>
        <w:r w:rsidR="00B03E98">
          <w:rPr>
            <w:rFonts w:eastAsiaTheme="minorEastAsia"/>
            <w:caps w:val="0"/>
            <w:noProof/>
            <w:sz w:val="22"/>
            <w:szCs w:val="22"/>
            <w:lang w:eastAsia="cs-CZ"/>
          </w:rPr>
          <w:tab/>
        </w:r>
        <w:r w:rsidR="00B03E98" w:rsidRPr="00356770">
          <w:rPr>
            <w:rStyle w:val="Hypertextovodkaz"/>
          </w:rPr>
          <w:t>VYSVĚTLENÍ, ZMĚNY a DOPLNĚNÍ ZADÁVACÍ DOKUMENTACE</w:t>
        </w:r>
        <w:r w:rsidR="00B03E98">
          <w:rPr>
            <w:noProof/>
            <w:webHidden/>
          </w:rPr>
          <w:tab/>
        </w:r>
        <w:r w:rsidR="00B03E98">
          <w:rPr>
            <w:noProof/>
            <w:webHidden/>
          </w:rPr>
          <w:fldChar w:fldCharType="begin"/>
        </w:r>
        <w:r w:rsidR="00B03E98">
          <w:rPr>
            <w:noProof/>
            <w:webHidden/>
          </w:rPr>
          <w:instrText xml:space="preserve"> PAGEREF _Toc47947737 \h </w:instrText>
        </w:r>
        <w:r w:rsidR="00B03E98">
          <w:rPr>
            <w:noProof/>
            <w:webHidden/>
          </w:rPr>
        </w:r>
        <w:r w:rsidR="00B03E98">
          <w:rPr>
            <w:noProof/>
            <w:webHidden/>
          </w:rPr>
          <w:fldChar w:fldCharType="separate"/>
        </w:r>
        <w:r w:rsidR="00FF06A7">
          <w:rPr>
            <w:noProof/>
            <w:webHidden/>
          </w:rPr>
          <w:t>6</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8" w:history="1">
        <w:r w:rsidR="00B03E98" w:rsidRPr="00356770">
          <w:rPr>
            <w:rStyle w:val="Hypertextovodkaz"/>
          </w:rPr>
          <w:t>8.</w:t>
        </w:r>
        <w:r w:rsidR="00B03E98">
          <w:rPr>
            <w:rFonts w:eastAsiaTheme="minorEastAsia"/>
            <w:caps w:val="0"/>
            <w:noProof/>
            <w:sz w:val="22"/>
            <w:szCs w:val="22"/>
            <w:lang w:eastAsia="cs-CZ"/>
          </w:rPr>
          <w:tab/>
        </w:r>
        <w:r w:rsidR="00B03E98" w:rsidRPr="00356770">
          <w:rPr>
            <w:rStyle w:val="Hypertextovodkaz"/>
          </w:rPr>
          <w:t>POŽADAVKY ZADAVATELE NA KVALIFIKACI</w:t>
        </w:r>
        <w:r w:rsidR="00B03E98">
          <w:rPr>
            <w:noProof/>
            <w:webHidden/>
          </w:rPr>
          <w:tab/>
        </w:r>
        <w:r w:rsidR="00B03E98">
          <w:rPr>
            <w:noProof/>
            <w:webHidden/>
          </w:rPr>
          <w:fldChar w:fldCharType="begin"/>
        </w:r>
        <w:r w:rsidR="00B03E98">
          <w:rPr>
            <w:noProof/>
            <w:webHidden/>
          </w:rPr>
          <w:instrText xml:space="preserve"> PAGEREF _Toc47947738 \h </w:instrText>
        </w:r>
        <w:r w:rsidR="00B03E98">
          <w:rPr>
            <w:noProof/>
            <w:webHidden/>
          </w:rPr>
        </w:r>
        <w:r w:rsidR="00B03E98">
          <w:rPr>
            <w:noProof/>
            <w:webHidden/>
          </w:rPr>
          <w:fldChar w:fldCharType="separate"/>
        </w:r>
        <w:r w:rsidR="00FF06A7">
          <w:rPr>
            <w:noProof/>
            <w:webHidden/>
          </w:rPr>
          <w:t>6</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39" w:history="1">
        <w:r w:rsidR="00B03E98" w:rsidRPr="00356770">
          <w:rPr>
            <w:rStyle w:val="Hypertextovodkaz"/>
          </w:rPr>
          <w:t>9.</w:t>
        </w:r>
        <w:r w:rsidR="00B03E98">
          <w:rPr>
            <w:rFonts w:eastAsiaTheme="minorEastAsia"/>
            <w:caps w:val="0"/>
            <w:noProof/>
            <w:sz w:val="22"/>
            <w:szCs w:val="22"/>
            <w:lang w:eastAsia="cs-CZ"/>
          </w:rPr>
          <w:tab/>
        </w:r>
        <w:r w:rsidR="00B03E98" w:rsidRPr="00356770">
          <w:rPr>
            <w:rStyle w:val="Hypertextovodkaz"/>
          </w:rPr>
          <w:t>DALŠÍ INFORMACE/DOKUMENTY PŘEDKLÁDANÉ DODAVATELEM v NABÍDCE</w:t>
        </w:r>
        <w:r w:rsidR="00B03E98">
          <w:rPr>
            <w:noProof/>
            <w:webHidden/>
          </w:rPr>
          <w:tab/>
        </w:r>
        <w:r w:rsidR="00B03E98">
          <w:rPr>
            <w:noProof/>
            <w:webHidden/>
          </w:rPr>
          <w:fldChar w:fldCharType="begin"/>
        </w:r>
        <w:r w:rsidR="00B03E98">
          <w:rPr>
            <w:noProof/>
            <w:webHidden/>
          </w:rPr>
          <w:instrText xml:space="preserve"> PAGEREF _Toc47947739 \h </w:instrText>
        </w:r>
        <w:r w:rsidR="00B03E98">
          <w:rPr>
            <w:noProof/>
            <w:webHidden/>
          </w:rPr>
        </w:r>
        <w:r w:rsidR="00B03E98">
          <w:rPr>
            <w:noProof/>
            <w:webHidden/>
          </w:rPr>
          <w:fldChar w:fldCharType="separate"/>
        </w:r>
        <w:r w:rsidR="00FF06A7">
          <w:rPr>
            <w:noProof/>
            <w:webHidden/>
          </w:rPr>
          <w:t>16</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0" w:history="1">
        <w:r w:rsidR="00B03E98" w:rsidRPr="00356770">
          <w:rPr>
            <w:rStyle w:val="Hypertextovodkaz"/>
          </w:rPr>
          <w:t>10.</w:t>
        </w:r>
        <w:r w:rsidR="00B03E98">
          <w:rPr>
            <w:rFonts w:eastAsiaTheme="minorEastAsia"/>
            <w:caps w:val="0"/>
            <w:noProof/>
            <w:sz w:val="22"/>
            <w:szCs w:val="22"/>
            <w:lang w:eastAsia="cs-CZ"/>
          </w:rPr>
          <w:tab/>
        </w:r>
        <w:r w:rsidR="00B03E98" w:rsidRPr="00356770">
          <w:rPr>
            <w:rStyle w:val="Hypertextovodkaz"/>
          </w:rPr>
          <w:t>JAZYK NABÍDEK A KOMUNIKAČNÍ JAZYK</w:t>
        </w:r>
        <w:r w:rsidR="00B03E98">
          <w:rPr>
            <w:noProof/>
            <w:webHidden/>
          </w:rPr>
          <w:tab/>
        </w:r>
        <w:r w:rsidR="00B03E98">
          <w:rPr>
            <w:noProof/>
            <w:webHidden/>
          </w:rPr>
          <w:fldChar w:fldCharType="begin"/>
        </w:r>
        <w:r w:rsidR="00B03E98">
          <w:rPr>
            <w:noProof/>
            <w:webHidden/>
          </w:rPr>
          <w:instrText xml:space="preserve"> PAGEREF _Toc47947740 \h </w:instrText>
        </w:r>
        <w:r w:rsidR="00B03E98">
          <w:rPr>
            <w:noProof/>
            <w:webHidden/>
          </w:rPr>
        </w:r>
        <w:r w:rsidR="00B03E98">
          <w:rPr>
            <w:noProof/>
            <w:webHidden/>
          </w:rPr>
          <w:fldChar w:fldCharType="separate"/>
        </w:r>
        <w:r w:rsidR="00FF06A7">
          <w:rPr>
            <w:noProof/>
            <w:webHidden/>
          </w:rPr>
          <w:t>18</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1" w:history="1">
        <w:r w:rsidR="00B03E98" w:rsidRPr="00356770">
          <w:rPr>
            <w:rStyle w:val="Hypertextovodkaz"/>
          </w:rPr>
          <w:t>11.</w:t>
        </w:r>
        <w:r w:rsidR="00B03E98">
          <w:rPr>
            <w:rFonts w:eastAsiaTheme="minorEastAsia"/>
            <w:caps w:val="0"/>
            <w:noProof/>
            <w:sz w:val="22"/>
            <w:szCs w:val="22"/>
            <w:lang w:eastAsia="cs-CZ"/>
          </w:rPr>
          <w:tab/>
        </w:r>
        <w:r w:rsidR="00B03E98" w:rsidRPr="00356770">
          <w:rPr>
            <w:rStyle w:val="Hypertextovodkaz"/>
          </w:rPr>
          <w:t>OBSAH a PODÁVÁNÍ NABÍDEK</w:t>
        </w:r>
        <w:r w:rsidR="00B03E98">
          <w:rPr>
            <w:noProof/>
            <w:webHidden/>
          </w:rPr>
          <w:tab/>
        </w:r>
        <w:r w:rsidR="00B03E98">
          <w:rPr>
            <w:noProof/>
            <w:webHidden/>
          </w:rPr>
          <w:fldChar w:fldCharType="begin"/>
        </w:r>
        <w:r w:rsidR="00B03E98">
          <w:rPr>
            <w:noProof/>
            <w:webHidden/>
          </w:rPr>
          <w:instrText xml:space="preserve"> PAGEREF _Toc47947741 \h </w:instrText>
        </w:r>
        <w:r w:rsidR="00B03E98">
          <w:rPr>
            <w:noProof/>
            <w:webHidden/>
          </w:rPr>
        </w:r>
        <w:r w:rsidR="00B03E98">
          <w:rPr>
            <w:noProof/>
            <w:webHidden/>
          </w:rPr>
          <w:fldChar w:fldCharType="separate"/>
        </w:r>
        <w:r w:rsidR="00FF06A7">
          <w:rPr>
            <w:noProof/>
            <w:webHidden/>
          </w:rPr>
          <w:t>18</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2" w:history="1">
        <w:r w:rsidR="00B03E98" w:rsidRPr="00356770">
          <w:rPr>
            <w:rStyle w:val="Hypertextovodkaz"/>
          </w:rPr>
          <w:t>12.</w:t>
        </w:r>
        <w:r w:rsidR="00B03E98">
          <w:rPr>
            <w:rFonts w:eastAsiaTheme="minorEastAsia"/>
            <w:caps w:val="0"/>
            <w:noProof/>
            <w:sz w:val="22"/>
            <w:szCs w:val="22"/>
            <w:lang w:eastAsia="cs-CZ"/>
          </w:rPr>
          <w:tab/>
        </w:r>
        <w:r w:rsidR="00B03E98" w:rsidRPr="00356770">
          <w:rPr>
            <w:rStyle w:val="Hypertextovodkaz"/>
          </w:rPr>
          <w:t>POŽADAVKY NA ZPRACOVÁNÍ NABÍDKOVÉ CENY</w:t>
        </w:r>
        <w:r w:rsidR="00B03E98">
          <w:rPr>
            <w:noProof/>
            <w:webHidden/>
          </w:rPr>
          <w:tab/>
        </w:r>
        <w:r w:rsidR="00B03E98">
          <w:rPr>
            <w:noProof/>
            <w:webHidden/>
          </w:rPr>
          <w:fldChar w:fldCharType="begin"/>
        </w:r>
        <w:r w:rsidR="00B03E98">
          <w:rPr>
            <w:noProof/>
            <w:webHidden/>
          </w:rPr>
          <w:instrText xml:space="preserve"> PAGEREF _Toc47947742 \h </w:instrText>
        </w:r>
        <w:r w:rsidR="00B03E98">
          <w:rPr>
            <w:noProof/>
            <w:webHidden/>
          </w:rPr>
        </w:r>
        <w:r w:rsidR="00B03E98">
          <w:rPr>
            <w:noProof/>
            <w:webHidden/>
          </w:rPr>
          <w:fldChar w:fldCharType="separate"/>
        </w:r>
        <w:r w:rsidR="00FF06A7">
          <w:rPr>
            <w:noProof/>
            <w:webHidden/>
          </w:rPr>
          <w:t>20</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3" w:history="1">
        <w:r w:rsidR="00B03E98" w:rsidRPr="00356770">
          <w:rPr>
            <w:rStyle w:val="Hypertextovodkaz"/>
          </w:rPr>
          <w:t>13.</w:t>
        </w:r>
        <w:r w:rsidR="00B03E98">
          <w:rPr>
            <w:rFonts w:eastAsiaTheme="minorEastAsia"/>
            <w:caps w:val="0"/>
            <w:noProof/>
            <w:sz w:val="22"/>
            <w:szCs w:val="22"/>
            <w:lang w:eastAsia="cs-CZ"/>
          </w:rPr>
          <w:tab/>
        </w:r>
        <w:r w:rsidR="00B03E98" w:rsidRPr="00356770">
          <w:rPr>
            <w:rStyle w:val="Hypertextovodkaz"/>
          </w:rPr>
          <w:t>VARIANTY NABÍDKY</w:t>
        </w:r>
        <w:r w:rsidR="00B03E98">
          <w:rPr>
            <w:noProof/>
            <w:webHidden/>
          </w:rPr>
          <w:tab/>
        </w:r>
        <w:r w:rsidR="00B03E98">
          <w:rPr>
            <w:noProof/>
            <w:webHidden/>
          </w:rPr>
          <w:fldChar w:fldCharType="begin"/>
        </w:r>
        <w:r w:rsidR="00B03E98">
          <w:rPr>
            <w:noProof/>
            <w:webHidden/>
          </w:rPr>
          <w:instrText xml:space="preserve"> PAGEREF _Toc47947743 \h </w:instrText>
        </w:r>
        <w:r w:rsidR="00B03E98">
          <w:rPr>
            <w:noProof/>
            <w:webHidden/>
          </w:rPr>
        </w:r>
        <w:r w:rsidR="00B03E98">
          <w:rPr>
            <w:noProof/>
            <w:webHidden/>
          </w:rPr>
          <w:fldChar w:fldCharType="separate"/>
        </w:r>
        <w:r w:rsidR="00FF06A7">
          <w:rPr>
            <w:noProof/>
            <w:webHidden/>
          </w:rPr>
          <w:t>20</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4" w:history="1">
        <w:r w:rsidR="00B03E98" w:rsidRPr="00356770">
          <w:rPr>
            <w:rStyle w:val="Hypertextovodkaz"/>
          </w:rPr>
          <w:t>14.</w:t>
        </w:r>
        <w:r w:rsidR="00B03E98">
          <w:rPr>
            <w:rFonts w:eastAsiaTheme="minorEastAsia"/>
            <w:caps w:val="0"/>
            <w:noProof/>
            <w:sz w:val="22"/>
            <w:szCs w:val="22"/>
            <w:lang w:eastAsia="cs-CZ"/>
          </w:rPr>
          <w:tab/>
        </w:r>
        <w:r w:rsidR="00B03E98" w:rsidRPr="00356770">
          <w:rPr>
            <w:rStyle w:val="Hypertextovodkaz"/>
          </w:rPr>
          <w:t>OTEVÍRÁNÍ NABÍDEK</w:t>
        </w:r>
        <w:r w:rsidR="00B03E98">
          <w:rPr>
            <w:noProof/>
            <w:webHidden/>
          </w:rPr>
          <w:tab/>
        </w:r>
        <w:r w:rsidR="00B03E98">
          <w:rPr>
            <w:noProof/>
            <w:webHidden/>
          </w:rPr>
          <w:fldChar w:fldCharType="begin"/>
        </w:r>
        <w:r w:rsidR="00B03E98">
          <w:rPr>
            <w:noProof/>
            <w:webHidden/>
          </w:rPr>
          <w:instrText xml:space="preserve"> PAGEREF _Toc47947744 \h </w:instrText>
        </w:r>
        <w:r w:rsidR="00B03E98">
          <w:rPr>
            <w:noProof/>
            <w:webHidden/>
          </w:rPr>
        </w:r>
        <w:r w:rsidR="00B03E98">
          <w:rPr>
            <w:noProof/>
            <w:webHidden/>
          </w:rPr>
          <w:fldChar w:fldCharType="separate"/>
        </w:r>
        <w:r w:rsidR="00FF06A7">
          <w:rPr>
            <w:noProof/>
            <w:webHidden/>
          </w:rPr>
          <w:t>20</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5" w:history="1">
        <w:r w:rsidR="00B03E98" w:rsidRPr="00356770">
          <w:rPr>
            <w:rStyle w:val="Hypertextovodkaz"/>
          </w:rPr>
          <w:t>15.</w:t>
        </w:r>
        <w:r w:rsidR="00B03E98">
          <w:rPr>
            <w:rFonts w:eastAsiaTheme="minorEastAsia"/>
            <w:caps w:val="0"/>
            <w:noProof/>
            <w:sz w:val="22"/>
            <w:szCs w:val="22"/>
            <w:lang w:eastAsia="cs-CZ"/>
          </w:rPr>
          <w:tab/>
        </w:r>
        <w:r w:rsidR="00B03E98" w:rsidRPr="00356770">
          <w:rPr>
            <w:rStyle w:val="Hypertextovodkaz"/>
          </w:rPr>
          <w:t>POSOUZENÍ SPLNĚNÍ PODMÍNEK ÚČASTI</w:t>
        </w:r>
        <w:r w:rsidR="00B03E98">
          <w:rPr>
            <w:noProof/>
            <w:webHidden/>
          </w:rPr>
          <w:tab/>
        </w:r>
        <w:r w:rsidR="00B03E98">
          <w:rPr>
            <w:noProof/>
            <w:webHidden/>
          </w:rPr>
          <w:fldChar w:fldCharType="begin"/>
        </w:r>
        <w:r w:rsidR="00B03E98">
          <w:rPr>
            <w:noProof/>
            <w:webHidden/>
          </w:rPr>
          <w:instrText xml:space="preserve"> PAGEREF _Toc47947745 \h </w:instrText>
        </w:r>
        <w:r w:rsidR="00B03E98">
          <w:rPr>
            <w:noProof/>
            <w:webHidden/>
          </w:rPr>
        </w:r>
        <w:r w:rsidR="00B03E98">
          <w:rPr>
            <w:noProof/>
            <w:webHidden/>
          </w:rPr>
          <w:fldChar w:fldCharType="separate"/>
        </w:r>
        <w:r w:rsidR="00FF06A7">
          <w:rPr>
            <w:noProof/>
            <w:webHidden/>
          </w:rPr>
          <w:t>20</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6" w:history="1">
        <w:r w:rsidR="00B03E98" w:rsidRPr="00356770">
          <w:rPr>
            <w:rStyle w:val="Hypertextovodkaz"/>
          </w:rPr>
          <w:t>16.</w:t>
        </w:r>
        <w:r w:rsidR="00B03E98">
          <w:rPr>
            <w:rFonts w:eastAsiaTheme="minorEastAsia"/>
            <w:caps w:val="0"/>
            <w:noProof/>
            <w:sz w:val="22"/>
            <w:szCs w:val="22"/>
            <w:lang w:eastAsia="cs-CZ"/>
          </w:rPr>
          <w:tab/>
        </w:r>
        <w:r w:rsidR="00B03E98" w:rsidRPr="00356770">
          <w:rPr>
            <w:rStyle w:val="Hypertextovodkaz"/>
          </w:rPr>
          <w:t>HODNOCENÍ NABÍDEK</w:t>
        </w:r>
        <w:r w:rsidR="00B03E98">
          <w:rPr>
            <w:noProof/>
            <w:webHidden/>
          </w:rPr>
          <w:tab/>
        </w:r>
        <w:r w:rsidR="00B03E98">
          <w:rPr>
            <w:noProof/>
            <w:webHidden/>
          </w:rPr>
          <w:fldChar w:fldCharType="begin"/>
        </w:r>
        <w:r w:rsidR="00B03E98">
          <w:rPr>
            <w:noProof/>
            <w:webHidden/>
          </w:rPr>
          <w:instrText xml:space="preserve"> PAGEREF _Toc47947746 \h </w:instrText>
        </w:r>
        <w:r w:rsidR="00B03E98">
          <w:rPr>
            <w:noProof/>
            <w:webHidden/>
          </w:rPr>
        </w:r>
        <w:r w:rsidR="00B03E98">
          <w:rPr>
            <w:noProof/>
            <w:webHidden/>
          </w:rPr>
          <w:fldChar w:fldCharType="separate"/>
        </w:r>
        <w:r w:rsidR="00FF06A7">
          <w:rPr>
            <w:noProof/>
            <w:webHidden/>
          </w:rPr>
          <w:t>21</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7" w:history="1">
        <w:r w:rsidR="00B03E98" w:rsidRPr="00356770">
          <w:rPr>
            <w:rStyle w:val="Hypertextovodkaz"/>
          </w:rPr>
          <w:t>17.</w:t>
        </w:r>
        <w:r w:rsidR="00B03E98">
          <w:rPr>
            <w:rFonts w:eastAsiaTheme="minorEastAsia"/>
            <w:caps w:val="0"/>
            <w:noProof/>
            <w:sz w:val="22"/>
            <w:szCs w:val="22"/>
            <w:lang w:eastAsia="cs-CZ"/>
          </w:rPr>
          <w:tab/>
        </w:r>
        <w:r w:rsidR="00B03E98" w:rsidRPr="00356770">
          <w:rPr>
            <w:rStyle w:val="Hypertextovodkaz"/>
          </w:rPr>
          <w:t>ZRUŠENÍ ZADÁVACÍHO ŘÍZENÍ</w:t>
        </w:r>
        <w:r w:rsidR="00B03E98">
          <w:rPr>
            <w:noProof/>
            <w:webHidden/>
          </w:rPr>
          <w:tab/>
        </w:r>
        <w:r w:rsidR="00B03E98">
          <w:rPr>
            <w:noProof/>
            <w:webHidden/>
          </w:rPr>
          <w:fldChar w:fldCharType="begin"/>
        </w:r>
        <w:r w:rsidR="00B03E98">
          <w:rPr>
            <w:noProof/>
            <w:webHidden/>
          </w:rPr>
          <w:instrText xml:space="preserve"> PAGEREF _Toc47947747 \h </w:instrText>
        </w:r>
        <w:r w:rsidR="00B03E98">
          <w:rPr>
            <w:noProof/>
            <w:webHidden/>
          </w:rPr>
        </w:r>
        <w:r w:rsidR="00B03E98">
          <w:rPr>
            <w:noProof/>
            <w:webHidden/>
          </w:rPr>
          <w:fldChar w:fldCharType="separate"/>
        </w:r>
        <w:r w:rsidR="00FF06A7">
          <w:rPr>
            <w:noProof/>
            <w:webHidden/>
          </w:rPr>
          <w:t>26</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8" w:history="1">
        <w:r w:rsidR="00B03E98" w:rsidRPr="00356770">
          <w:rPr>
            <w:rStyle w:val="Hypertextovodkaz"/>
          </w:rPr>
          <w:t>18.</w:t>
        </w:r>
        <w:r w:rsidR="00B03E98">
          <w:rPr>
            <w:rFonts w:eastAsiaTheme="minorEastAsia"/>
            <w:caps w:val="0"/>
            <w:noProof/>
            <w:sz w:val="22"/>
            <w:szCs w:val="22"/>
            <w:lang w:eastAsia="cs-CZ"/>
          </w:rPr>
          <w:tab/>
        </w:r>
        <w:r w:rsidR="00B03E98" w:rsidRPr="00356770">
          <w:rPr>
            <w:rStyle w:val="Hypertextovodkaz"/>
          </w:rPr>
          <w:t>UZAVŘENÍ SMLOUVY</w:t>
        </w:r>
        <w:r w:rsidR="00B03E98">
          <w:rPr>
            <w:noProof/>
            <w:webHidden/>
          </w:rPr>
          <w:tab/>
        </w:r>
        <w:r w:rsidR="00B03E98">
          <w:rPr>
            <w:noProof/>
            <w:webHidden/>
          </w:rPr>
          <w:fldChar w:fldCharType="begin"/>
        </w:r>
        <w:r w:rsidR="00B03E98">
          <w:rPr>
            <w:noProof/>
            <w:webHidden/>
          </w:rPr>
          <w:instrText xml:space="preserve"> PAGEREF _Toc47947748 \h </w:instrText>
        </w:r>
        <w:r w:rsidR="00B03E98">
          <w:rPr>
            <w:noProof/>
            <w:webHidden/>
          </w:rPr>
        </w:r>
        <w:r w:rsidR="00B03E98">
          <w:rPr>
            <w:noProof/>
            <w:webHidden/>
          </w:rPr>
          <w:fldChar w:fldCharType="separate"/>
        </w:r>
        <w:r w:rsidR="00FF06A7">
          <w:rPr>
            <w:noProof/>
            <w:webHidden/>
          </w:rPr>
          <w:t>27</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49" w:history="1">
        <w:r w:rsidR="00B03E98" w:rsidRPr="00356770">
          <w:rPr>
            <w:rStyle w:val="Hypertextovodkaz"/>
          </w:rPr>
          <w:t>19.</w:t>
        </w:r>
        <w:r w:rsidR="00B03E98">
          <w:rPr>
            <w:rFonts w:eastAsiaTheme="minorEastAsia"/>
            <w:caps w:val="0"/>
            <w:noProof/>
            <w:sz w:val="22"/>
            <w:szCs w:val="22"/>
            <w:lang w:eastAsia="cs-CZ"/>
          </w:rPr>
          <w:tab/>
        </w:r>
        <w:r w:rsidR="00B03E98" w:rsidRPr="00356770">
          <w:rPr>
            <w:rStyle w:val="Hypertextovodkaz"/>
          </w:rPr>
          <w:t>OCHRANA INFORMACÍ</w:t>
        </w:r>
        <w:r w:rsidR="00B03E98">
          <w:rPr>
            <w:noProof/>
            <w:webHidden/>
          </w:rPr>
          <w:tab/>
        </w:r>
        <w:r w:rsidR="00B03E98">
          <w:rPr>
            <w:noProof/>
            <w:webHidden/>
          </w:rPr>
          <w:fldChar w:fldCharType="begin"/>
        </w:r>
        <w:r w:rsidR="00B03E98">
          <w:rPr>
            <w:noProof/>
            <w:webHidden/>
          </w:rPr>
          <w:instrText xml:space="preserve"> PAGEREF _Toc47947749 \h </w:instrText>
        </w:r>
        <w:r w:rsidR="00B03E98">
          <w:rPr>
            <w:noProof/>
            <w:webHidden/>
          </w:rPr>
        </w:r>
        <w:r w:rsidR="00B03E98">
          <w:rPr>
            <w:noProof/>
            <w:webHidden/>
          </w:rPr>
          <w:fldChar w:fldCharType="separate"/>
        </w:r>
        <w:r w:rsidR="00FF06A7">
          <w:rPr>
            <w:noProof/>
            <w:webHidden/>
          </w:rPr>
          <w:t>29</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50" w:history="1">
        <w:r w:rsidR="00B03E98" w:rsidRPr="00356770">
          <w:rPr>
            <w:rStyle w:val="Hypertextovodkaz"/>
          </w:rPr>
          <w:t>20.</w:t>
        </w:r>
        <w:r w:rsidR="00B03E98">
          <w:rPr>
            <w:rFonts w:eastAsiaTheme="minorEastAsia"/>
            <w:caps w:val="0"/>
            <w:noProof/>
            <w:sz w:val="22"/>
            <w:szCs w:val="22"/>
            <w:lang w:eastAsia="cs-CZ"/>
          </w:rPr>
          <w:tab/>
        </w:r>
        <w:r w:rsidR="00B03E98" w:rsidRPr="00356770">
          <w:rPr>
            <w:rStyle w:val="Hypertextovodkaz"/>
          </w:rPr>
          <w:t>ZADÁVACÍ LHŮTA A JISTOTA ZA NABÍDKU</w:t>
        </w:r>
        <w:r w:rsidR="00B03E98">
          <w:rPr>
            <w:noProof/>
            <w:webHidden/>
          </w:rPr>
          <w:tab/>
        </w:r>
        <w:r w:rsidR="00B03E98">
          <w:rPr>
            <w:noProof/>
            <w:webHidden/>
          </w:rPr>
          <w:fldChar w:fldCharType="begin"/>
        </w:r>
        <w:r w:rsidR="00B03E98">
          <w:rPr>
            <w:noProof/>
            <w:webHidden/>
          </w:rPr>
          <w:instrText xml:space="preserve"> PAGEREF _Toc47947750 \h </w:instrText>
        </w:r>
        <w:r w:rsidR="00B03E98">
          <w:rPr>
            <w:noProof/>
            <w:webHidden/>
          </w:rPr>
        </w:r>
        <w:r w:rsidR="00B03E98">
          <w:rPr>
            <w:noProof/>
            <w:webHidden/>
          </w:rPr>
          <w:fldChar w:fldCharType="separate"/>
        </w:r>
        <w:r w:rsidR="00FF06A7">
          <w:rPr>
            <w:noProof/>
            <w:webHidden/>
          </w:rPr>
          <w:t>29</w:t>
        </w:r>
        <w:r w:rsidR="00B03E98">
          <w:rPr>
            <w:noProof/>
            <w:webHidden/>
          </w:rPr>
          <w:fldChar w:fldCharType="end"/>
        </w:r>
      </w:hyperlink>
    </w:p>
    <w:p w:rsidR="00B03E98" w:rsidRDefault="009307E2">
      <w:pPr>
        <w:pStyle w:val="Obsah1"/>
        <w:rPr>
          <w:rFonts w:eastAsiaTheme="minorEastAsia"/>
          <w:caps w:val="0"/>
          <w:noProof/>
          <w:sz w:val="22"/>
          <w:szCs w:val="22"/>
          <w:lang w:eastAsia="cs-CZ"/>
        </w:rPr>
      </w:pPr>
      <w:hyperlink w:anchor="_Toc47947751" w:history="1">
        <w:r w:rsidR="00B03E98" w:rsidRPr="00356770">
          <w:rPr>
            <w:rStyle w:val="Hypertextovodkaz"/>
          </w:rPr>
          <w:t>21.</w:t>
        </w:r>
        <w:r w:rsidR="00B03E98">
          <w:rPr>
            <w:rFonts w:eastAsiaTheme="minorEastAsia"/>
            <w:caps w:val="0"/>
            <w:noProof/>
            <w:sz w:val="22"/>
            <w:szCs w:val="22"/>
            <w:lang w:eastAsia="cs-CZ"/>
          </w:rPr>
          <w:tab/>
        </w:r>
        <w:r w:rsidR="00B03E98" w:rsidRPr="00356770">
          <w:rPr>
            <w:rStyle w:val="Hypertextovodkaz"/>
          </w:rPr>
          <w:t>PŘÍLOHY TĚCHTO POKYNŮ</w:t>
        </w:r>
        <w:r w:rsidR="00B03E98">
          <w:rPr>
            <w:noProof/>
            <w:webHidden/>
          </w:rPr>
          <w:tab/>
        </w:r>
        <w:r w:rsidR="00B03E98">
          <w:rPr>
            <w:noProof/>
            <w:webHidden/>
          </w:rPr>
          <w:fldChar w:fldCharType="begin"/>
        </w:r>
        <w:r w:rsidR="00B03E98">
          <w:rPr>
            <w:noProof/>
            <w:webHidden/>
          </w:rPr>
          <w:instrText xml:space="preserve"> PAGEREF _Toc47947751 \h </w:instrText>
        </w:r>
        <w:r w:rsidR="00B03E98">
          <w:rPr>
            <w:noProof/>
            <w:webHidden/>
          </w:rPr>
        </w:r>
        <w:r w:rsidR="00B03E98">
          <w:rPr>
            <w:noProof/>
            <w:webHidden/>
          </w:rPr>
          <w:fldChar w:fldCharType="separate"/>
        </w:r>
        <w:r w:rsidR="00FF06A7">
          <w:rPr>
            <w:noProof/>
            <w:webHidden/>
          </w:rPr>
          <w:t>30</w:t>
        </w:r>
        <w:r w:rsidR="00B03E98">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7947731"/>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47947732"/>
      <w:r>
        <w:t>IDENTIFIKAČNÍ ÚDAJE ZADAVATELE</w:t>
      </w:r>
      <w:bookmarkEnd w:id="5"/>
    </w:p>
    <w:p w:rsidR="0035531B" w:rsidRPr="00EE0656" w:rsidRDefault="0035531B" w:rsidP="0035531B">
      <w:pPr>
        <w:pStyle w:val="Textbezslovn"/>
        <w:spacing w:after="0"/>
        <w:rPr>
          <w:rStyle w:val="Tun9b"/>
        </w:rPr>
      </w:pPr>
      <w:r w:rsidRPr="00EE0656">
        <w:rPr>
          <w:rStyle w:val="Tun9b"/>
        </w:rPr>
        <w:t>Správa železni</w:t>
      </w:r>
      <w:r w:rsidR="00040961" w:rsidRPr="00EE0656">
        <w:rPr>
          <w:rStyle w:val="Tun9b"/>
        </w:rPr>
        <w:t>c</w:t>
      </w:r>
      <w:r w:rsidRPr="00EE0656">
        <w:rPr>
          <w:rStyle w:val="Tun9b"/>
        </w:rPr>
        <w:t>, státní organizace</w:t>
      </w:r>
    </w:p>
    <w:p w:rsidR="0035531B" w:rsidRPr="00EE0656" w:rsidRDefault="0035531B" w:rsidP="0035531B">
      <w:pPr>
        <w:pStyle w:val="Textbezslovn"/>
        <w:spacing w:after="0"/>
      </w:pPr>
      <w:r w:rsidRPr="00EE0656">
        <w:t>sídlo: Dlážděná 1003/7, Praha 1</w:t>
      </w:r>
      <w:r w:rsidR="0076241C" w:rsidRPr="00EE0656">
        <w:t>-</w:t>
      </w:r>
      <w:r w:rsidRPr="00EE0656">
        <w:t xml:space="preserve"> Nové Město, PSČ 110 00</w:t>
      </w:r>
    </w:p>
    <w:p w:rsidR="0035531B" w:rsidRDefault="0035531B" w:rsidP="0035531B">
      <w:pPr>
        <w:pStyle w:val="Textbezslovn"/>
        <w:spacing w:after="0"/>
      </w:pPr>
      <w:r w:rsidRPr="00EE0656">
        <w:t>zapsaná</w:t>
      </w:r>
      <w:r w:rsidR="00092CC9" w:rsidRPr="00EE0656">
        <w:t xml:space="preserve"> v </w:t>
      </w:r>
      <w:r w:rsidRPr="00EE0656">
        <w:t>obchodní rejstříku vedeném Městským soudem</w:t>
      </w:r>
      <w:r w:rsidR="00092CC9" w:rsidRPr="00EE0656">
        <w:t xml:space="preserve"> v </w:t>
      </w:r>
      <w:r w:rsidRPr="00EE0656">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1C25D8" w:rsidRDefault="001C25D8" w:rsidP="001C25D8">
      <w:pPr>
        <w:pStyle w:val="Textbezslovn"/>
        <w:spacing w:after="0"/>
        <w:ind w:left="0"/>
      </w:pPr>
      <w:r>
        <w:tab/>
        <w:t>Stavební správy západ,</w:t>
      </w:r>
    </w:p>
    <w:p w:rsidR="001C25D8" w:rsidRDefault="001C25D8" w:rsidP="001C25D8">
      <w:pPr>
        <w:pStyle w:val="Textbezslovn"/>
        <w:spacing w:after="0"/>
        <w:ind w:left="0"/>
      </w:pPr>
      <w:r>
        <w:tab/>
        <w:t>Sokolovská 1955/278, 190 00  Praha 9</w:t>
      </w:r>
    </w:p>
    <w:p w:rsidR="0035531B" w:rsidRDefault="0035531B" w:rsidP="0035531B">
      <w:pPr>
        <w:pStyle w:val="Textbezslovn"/>
        <w:spacing w:after="0"/>
      </w:pPr>
      <w:r>
        <w:lastRenderedPageBreak/>
        <w:t>Identifikátor datové schránky: uccchjm</w:t>
      </w:r>
    </w:p>
    <w:p w:rsidR="001C25D8" w:rsidRDefault="0035531B" w:rsidP="0035531B">
      <w:pPr>
        <w:pStyle w:val="Textbezslovn"/>
        <w:spacing w:after="0"/>
        <w:ind w:left="2127" w:hanging="1390"/>
      </w:pPr>
      <w:r>
        <w:t xml:space="preserve">zastoupená: </w:t>
      </w:r>
      <w:r>
        <w:tab/>
      </w:r>
      <w:r w:rsidRPr="000174E8">
        <w:t xml:space="preserve">Ing. </w:t>
      </w:r>
      <w:r w:rsidR="001C25D8">
        <w:t>Petrem Hofhanzlem, ředitelem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47947733"/>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p>
    <w:p w:rsidR="009179FA" w:rsidRDefault="0035531B" w:rsidP="0035531B">
      <w:pPr>
        <w:pStyle w:val="Textbezslovn"/>
        <w:spacing w:after="0"/>
      </w:pPr>
      <w:r>
        <w:t xml:space="preserve">telefon: </w:t>
      </w:r>
      <w:r>
        <w:tab/>
      </w:r>
      <w:r w:rsidR="009179FA">
        <w:t>724 321 788</w:t>
      </w:r>
    </w:p>
    <w:p w:rsidR="0035531B" w:rsidRDefault="0035531B" w:rsidP="0035531B">
      <w:pPr>
        <w:pStyle w:val="Textbezslovn"/>
        <w:spacing w:after="0"/>
      </w:pPr>
      <w:r>
        <w:t xml:space="preserve">e-mail: </w:t>
      </w:r>
      <w:r w:rsidR="00652EFD">
        <w:tab/>
      </w:r>
      <w:r w:rsidR="009179FA">
        <w:t>hlidkova@spravazeleznic.cz</w:t>
      </w:r>
    </w:p>
    <w:p w:rsidR="009179FA" w:rsidRDefault="0035531B" w:rsidP="009179FA">
      <w:pPr>
        <w:pStyle w:val="Text1-1"/>
        <w:numPr>
          <w:ilvl w:val="0"/>
          <w:numId w:val="0"/>
        </w:numPr>
        <w:spacing w:after="0"/>
        <w:ind w:left="737"/>
      </w:pPr>
      <w:r>
        <w:t xml:space="preserve">adresa: </w:t>
      </w:r>
      <w:r>
        <w:tab/>
      </w:r>
      <w:r w:rsidR="009179FA">
        <w:t>Správa železnic, státní organizace</w:t>
      </w:r>
    </w:p>
    <w:p w:rsidR="009179FA" w:rsidRDefault="009179FA" w:rsidP="009179FA">
      <w:pPr>
        <w:pStyle w:val="Text1-1"/>
        <w:numPr>
          <w:ilvl w:val="0"/>
          <w:numId w:val="0"/>
        </w:numPr>
        <w:spacing w:after="0"/>
        <w:ind w:left="1446" w:firstLine="681"/>
      </w:pPr>
      <w:r>
        <w:t>Stavební správa západ</w:t>
      </w:r>
    </w:p>
    <w:p w:rsidR="009179FA" w:rsidRDefault="009179FA" w:rsidP="009179FA">
      <w:pPr>
        <w:pStyle w:val="Text1-1"/>
        <w:numPr>
          <w:ilvl w:val="0"/>
          <w:numId w:val="0"/>
        </w:numPr>
        <w:spacing w:after="0"/>
        <w:ind w:left="1446" w:firstLine="681"/>
      </w:pPr>
      <w:r>
        <w:t>Sokolovská 1995/3</w:t>
      </w:r>
    </w:p>
    <w:p w:rsidR="009179FA" w:rsidRDefault="009179FA" w:rsidP="009179FA">
      <w:pPr>
        <w:pStyle w:val="Text1-1"/>
        <w:numPr>
          <w:ilvl w:val="0"/>
          <w:numId w:val="0"/>
        </w:numPr>
        <w:spacing w:after="0"/>
        <w:ind w:left="1446" w:firstLine="681"/>
      </w:pPr>
      <w:r>
        <w:t>190 00  Praha 9</w:t>
      </w:r>
    </w:p>
    <w:p w:rsidR="0035531B" w:rsidRDefault="0035531B" w:rsidP="0035531B">
      <w:pPr>
        <w:pStyle w:val="Textbezslovn"/>
      </w:pPr>
    </w:p>
    <w:p w:rsidR="0035531B" w:rsidRDefault="0035531B" w:rsidP="0035531B">
      <w:pPr>
        <w:pStyle w:val="Nadpis1-1"/>
      </w:pPr>
      <w:bookmarkStart w:id="7" w:name="_Toc47947734"/>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Pr="00D807B9" w:rsidRDefault="009179FA" w:rsidP="0035531B">
      <w:pPr>
        <w:pStyle w:val="Textbezslovn"/>
      </w:pPr>
      <w:r w:rsidRPr="009179FA">
        <w:t xml:space="preserve">Rozšíření sítě pozemních základnových stanic a rozsah pokrytí trati signálem sítě GSM-R a Evropský vlakový zabezpečovač ETCS v úseku Hranice na Moravě – Horní Lideč – </w:t>
      </w:r>
      <w:r w:rsidRPr="00D807B9">
        <w:t xml:space="preserve">Střelná a Vsetín – Bečva – Velké Karlovice, </w:t>
      </w:r>
      <w:r w:rsidR="00F678C9" w:rsidRPr="00D807B9">
        <w:t xml:space="preserve">bližší </w:t>
      </w:r>
      <w:r w:rsidRPr="00D807B9">
        <w:t xml:space="preserve">specifikace </w:t>
      </w:r>
      <w:r w:rsidR="00F678C9" w:rsidRPr="00D807B9">
        <w:t>je uvedena v</w:t>
      </w:r>
      <w:r w:rsidRPr="00D807B9">
        <w:t xml:space="preserve"> ZTP.</w:t>
      </w:r>
    </w:p>
    <w:p w:rsidR="0035531B" w:rsidRPr="00D807B9" w:rsidRDefault="0035531B" w:rsidP="0035531B">
      <w:pPr>
        <w:pStyle w:val="Text1-1"/>
      </w:pPr>
      <w:r w:rsidRPr="00D807B9">
        <w:t>Předmět plnění veřejné zakázky</w:t>
      </w:r>
    </w:p>
    <w:p w:rsidR="0076241C" w:rsidRPr="00D807B9" w:rsidRDefault="0076241C" w:rsidP="0076241C">
      <w:pPr>
        <w:pStyle w:val="Text1-1"/>
        <w:numPr>
          <w:ilvl w:val="0"/>
          <w:numId w:val="0"/>
        </w:numPr>
        <w:ind w:left="737"/>
      </w:pPr>
      <w:r w:rsidRPr="00D807B9">
        <w:t xml:space="preserve">Předmětem plnění je zpracování </w:t>
      </w:r>
      <w:r w:rsidR="004C7419" w:rsidRPr="00D807B9">
        <w:t xml:space="preserve">záměru projektu (ZP) a </w:t>
      </w:r>
      <w:r w:rsidRPr="00D807B9">
        <w:t>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4C7419" w:rsidRPr="00D807B9" w:rsidRDefault="004C7419" w:rsidP="0076241C">
      <w:pPr>
        <w:pStyle w:val="Text1-1"/>
        <w:numPr>
          <w:ilvl w:val="0"/>
          <w:numId w:val="0"/>
        </w:numPr>
        <w:ind w:left="737"/>
      </w:pPr>
      <w:r w:rsidRPr="00D807B9">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76241C" w:rsidRPr="00D807B9" w:rsidRDefault="0076241C" w:rsidP="0076241C">
      <w:pPr>
        <w:pStyle w:val="Text1-1"/>
        <w:numPr>
          <w:ilvl w:val="0"/>
          <w:numId w:val="0"/>
        </w:numPr>
        <w:ind w:left="737"/>
      </w:pPr>
      <w:r w:rsidRPr="00D807B9">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D807B9" w:rsidRDefault="0076241C" w:rsidP="0076241C">
      <w:pPr>
        <w:pStyle w:val="Text1-1"/>
        <w:numPr>
          <w:ilvl w:val="0"/>
          <w:numId w:val="0"/>
        </w:numPr>
        <w:ind w:left="737"/>
      </w:pPr>
      <w:r w:rsidRPr="00D807B9">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lastRenderedPageBreak/>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E53F6" w:rsidRDefault="006E53F6"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47947735"/>
      <w:r>
        <w:t>ZDROJE FINANCOVÁNÍ</w:t>
      </w:r>
      <w:r w:rsidR="00845C50">
        <w:t xml:space="preserve"> a </w:t>
      </w:r>
      <w:r>
        <w:t>PŘEDPOKLÁDANÁ HODNOTA VEŘEJNÉ ZAKÁZKY</w:t>
      </w:r>
      <w:bookmarkEnd w:id="8"/>
    </w:p>
    <w:p w:rsidR="0035531B" w:rsidRDefault="00CE693B" w:rsidP="0035531B">
      <w:pPr>
        <w:pStyle w:val="Text1-1"/>
      </w:pPr>
      <w:r>
        <w:t xml:space="preserve">U této </w:t>
      </w:r>
      <w:r w:rsidR="00EC0A0A">
        <w:t xml:space="preserve">veřejné </w:t>
      </w:r>
      <w:r>
        <w:t>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9179FA" w:rsidRPr="009179FA">
        <w:rPr>
          <w:b/>
        </w:rPr>
        <w:t>16 302 400,00</w:t>
      </w:r>
      <w:r>
        <w:t xml:space="preserve"> </w:t>
      </w:r>
      <w:r w:rsidRPr="00EB138E">
        <w:rPr>
          <w:b/>
        </w:rPr>
        <w:t>Kč</w:t>
      </w:r>
      <w:r>
        <w:t xml:space="preserve"> (bez DPH).</w:t>
      </w:r>
    </w:p>
    <w:p w:rsidR="0035531B" w:rsidRDefault="0035531B" w:rsidP="006F6B09">
      <w:pPr>
        <w:pStyle w:val="Nadpis1-1"/>
      </w:pPr>
      <w:bookmarkStart w:id="9" w:name="_Toc47947736"/>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6E53F6" w:rsidRPr="00506269" w:rsidRDefault="006E53F6" w:rsidP="008C385B">
      <w:pPr>
        <w:pStyle w:val="Text1-1"/>
        <w:numPr>
          <w:ilvl w:val="0"/>
          <w:numId w:val="49"/>
        </w:numPr>
      </w:pPr>
      <w:r w:rsidRPr="00506269">
        <w:t xml:space="preserve">Studie proveditelnosti </w:t>
      </w:r>
      <w:r w:rsidR="00506269" w:rsidRPr="00506269">
        <w:t xml:space="preserve">Hranice na Moravě – Horní Lideč st. </w:t>
      </w:r>
      <w:r w:rsidR="00506269">
        <w:t>h</w:t>
      </w:r>
      <w:r w:rsidR="00506269" w:rsidRPr="00506269">
        <w:t>r.</w:t>
      </w:r>
      <w:r w:rsidRPr="00506269">
        <w:t xml:space="preserve"> </w:t>
      </w:r>
    </w:p>
    <w:p w:rsidR="008C385B" w:rsidRPr="00FC3068" w:rsidRDefault="008C385B" w:rsidP="008C385B">
      <w:pPr>
        <w:pStyle w:val="Text2-1"/>
        <w:keepNext/>
        <w:numPr>
          <w:ilvl w:val="0"/>
          <w:numId w:val="49"/>
        </w:numPr>
        <w:spacing w:after="0"/>
      </w:pPr>
      <w:r w:rsidRPr="00FC3068">
        <w:t>Technické požadavky na dokumentaci pro územní řízení pro implementaci ETCS L2 na tratích SŽDC ze dne 24. 3. 2018 s přílohami:</w:t>
      </w:r>
    </w:p>
    <w:p w:rsidR="008C385B" w:rsidRPr="00FC3068" w:rsidRDefault="008C385B" w:rsidP="008C385B">
      <w:pPr>
        <w:pStyle w:val="Text2-1"/>
        <w:numPr>
          <w:ilvl w:val="0"/>
          <w:numId w:val="48"/>
        </w:numPr>
        <w:spacing w:after="0"/>
      </w:pPr>
      <w:r w:rsidRPr="00FC3068">
        <w:t>Příloha 1 – Neproměnná návěstidla pro provoz ETCS nad rámec ČSN EN 16494</w:t>
      </w:r>
    </w:p>
    <w:p w:rsidR="008C385B" w:rsidRPr="00FC3068" w:rsidRDefault="008C385B" w:rsidP="008C385B">
      <w:pPr>
        <w:pStyle w:val="Text2-1"/>
        <w:numPr>
          <w:ilvl w:val="0"/>
          <w:numId w:val="48"/>
        </w:numPr>
        <w:spacing w:after="0"/>
      </w:pPr>
      <w:r w:rsidRPr="00FC3068">
        <w:t>Příloha 2 – Prozatímní požadavky na uplatnění uvolňovací rychlosti v ETCS úrovně 2</w:t>
      </w:r>
    </w:p>
    <w:p w:rsidR="008C385B" w:rsidRPr="00FC3068" w:rsidRDefault="008C385B" w:rsidP="008C385B">
      <w:pPr>
        <w:pStyle w:val="Text2-1"/>
        <w:keepNext/>
        <w:numPr>
          <w:ilvl w:val="0"/>
          <w:numId w:val="0"/>
        </w:numPr>
        <w:spacing w:after="0"/>
        <w:ind w:left="1806"/>
      </w:pPr>
      <w:r w:rsidRPr="00FC3068">
        <w:t>Přitom se příloha 2 nepoužije a místo ní se použijí:</w:t>
      </w:r>
    </w:p>
    <w:p w:rsidR="008C385B" w:rsidRPr="00FC3068" w:rsidRDefault="008C385B" w:rsidP="008C385B">
      <w:pPr>
        <w:pStyle w:val="Text2-1"/>
        <w:numPr>
          <w:ilvl w:val="0"/>
          <w:numId w:val="48"/>
        </w:numPr>
        <w:spacing w:after="0"/>
      </w:pPr>
      <w:r w:rsidRPr="00FC3068">
        <w:t>Zásady pro návrh technického řešení ETCS ve vazbě na kolejová řešení dopraven (č. j. 20009/2018-SŽDC-GŘ-O6)</w:t>
      </w:r>
    </w:p>
    <w:p w:rsidR="008C385B" w:rsidRPr="008C385B" w:rsidRDefault="008C385B" w:rsidP="008C385B">
      <w:pPr>
        <w:pStyle w:val="Text2-1"/>
        <w:numPr>
          <w:ilvl w:val="0"/>
          <w:numId w:val="48"/>
        </w:numPr>
        <w:spacing w:after="0"/>
      </w:pPr>
      <w:r w:rsidRPr="00FC3068">
        <w:t>Zásady pro stanovení rozsahu a výše uvolňovací rychlosti při nasazení systému ETCS na stávající infrastrukturu (č. j. 47270/2018-SŽDC-GŘ-</w:t>
      </w:r>
      <w:r w:rsidRPr="008C385B">
        <w:t>O14)</w:t>
      </w:r>
    </w:p>
    <w:p w:rsidR="008C385B" w:rsidRPr="008C385B" w:rsidRDefault="008C385B" w:rsidP="008C385B">
      <w:pPr>
        <w:pStyle w:val="Text2-1"/>
        <w:numPr>
          <w:ilvl w:val="0"/>
          <w:numId w:val="48"/>
        </w:numPr>
      </w:pPr>
      <w:r w:rsidRPr="008C385B">
        <w:t>Technické specifikace systémů, zařízení a výrobků TS 1/2019-Z Vlaková cesta s prodlouženou ochrannou dráhou (63349/2019-SŽDC-GŘ-O14)</w:t>
      </w:r>
    </w:p>
    <w:p w:rsidR="005A3D2F" w:rsidRPr="008C385B" w:rsidRDefault="0035531B" w:rsidP="00845C50">
      <w:pPr>
        <w:pStyle w:val="Text1-1"/>
        <w:spacing w:after="0"/>
      </w:pPr>
      <w:r w:rsidRPr="008C385B">
        <w:t>Zadávací dokumentace je přístupná na profilu zadavatele</w:t>
      </w:r>
      <w:r w:rsidR="005A3D2F" w:rsidRPr="008C385B">
        <w:t xml:space="preserve"> </w:t>
      </w:r>
      <w:hyperlink r:id="rId12" w:history="1">
        <w:r w:rsidR="003468DC" w:rsidRPr="008C385B">
          <w:rPr>
            <w:rStyle w:val="Hypertextovodkaz"/>
            <w:noProof w:val="0"/>
          </w:rPr>
          <w:t>https://zakazky.spravazeleznic.cz/</w:t>
        </w:r>
      </w:hyperlink>
      <w:r w:rsidRPr="008C385B">
        <w:t>,</w:t>
      </w:r>
      <w:r w:rsidR="00845C50" w:rsidRPr="008C385B">
        <w:t xml:space="preserve"> s </w:t>
      </w:r>
      <w:r w:rsidRPr="008C385B">
        <w:t>výjimkou oznámení</w:t>
      </w:r>
      <w:r w:rsidR="00092CC9" w:rsidRPr="008C385B">
        <w:t xml:space="preserve"> o </w:t>
      </w:r>
      <w:r w:rsidRPr="008C385B">
        <w:t>zahájení zadávacího řízení – veřejné služby, které je dostupné</w:t>
      </w:r>
      <w:r w:rsidR="00845C50" w:rsidRPr="008C385B">
        <w:t xml:space="preserve"> </w:t>
      </w:r>
      <w:r w:rsidRPr="008C385B">
        <w:t>na stránkách Věstníku veřejných zakázek dostupných z:</w:t>
      </w:r>
      <w:r w:rsidR="00845C50" w:rsidRPr="008C385B">
        <w:t xml:space="preserve"> </w:t>
      </w:r>
      <w:hyperlink r:id="rId13" w:history="1">
        <w:r w:rsidR="005A3D2F" w:rsidRPr="008C385B">
          <w:rPr>
            <w:rStyle w:val="Hypertextovodkaz"/>
            <w:noProof w:val="0"/>
          </w:rPr>
          <w:t>https://vestnikverejnychzakazek.cz/</w:t>
        </w:r>
      </w:hyperlink>
    </w:p>
    <w:p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506269" w:rsidRPr="008A121B" w:rsidRDefault="00ED116C" w:rsidP="00DC6B38">
      <w:pPr>
        <w:pStyle w:val="Text1-1"/>
      </w:pPr>
      <w:r w:rsidRPr="008A121B">
        <w:t>Zadavatel sděluje, že následující části zadávací dokumentace vypracovala oso</w:t>
      </w:r>
      <w:r w:rsidR="008A121B" w:rsidRPr="008A121B">
        <w:t xml:space="preserve">ba odlišná od zadavatele, a to: </w:t>
      </w:r>
      <w:r w:rsidR="009877C7" w:rsidRPr="008A121B">
        <w:rPr>
          <w:rStyle w:val="Siln"/>
        </w:rPr>
        <w:t>MORAVIA CONSULT Olomouc a.s.</w:t>
      </w:r>
      <w:r w:rsidR="008A121B">
        <w:rPr>
          <w:rStyle w:val="Siln"/>
        </w:rPr>
        <w:t>,</w:t>
      </w:r>
      <w:r w:rsidR="00714759">
        <w:rPr>
          <w:rStyle w:val="Siln"/>
        </w:rPr>
        <w:t xml:space="preserve"> </w:t>
      </w:r>
      <w:r w:rsidR="009877C7" w:rsidRPr="008A121B">
        <w:t>Legionářská</w:t>
      </w:r>
      <w:r w:rsidR="008A121B" w:rsidRPr="008A121B">
        <w:t xml:space="preserve"> </w:t>
      </w:r>
      <w:r w:rsidR="009877C7" w:rsidRPr="008A121B">
        <w:t xml:space="preserve"> 1085/8</w:t>
      </w:r>
      <w:r w:rsidR="008A121B" w:rsidRPr="008A121B">
        <w:t xml:space="preserve">, </w:t>
      </w:r>
      <w:r w:rsidR="009877C7" w:rsidRPr="008A121B">
        <w:t>779 00 Olomouc</w:t>
      </w:r>
      <w:r w:rsidR="008A121B" w:rsidRPr="008A121B">
        <w:t>, IČO: 64610357</w:t>
      </w:r>
    </w:p>
    <w:p w:rsidR="0035531B" w:rsidRDefault="0035531B" w:rsidP="00DC6B38">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7947737"/>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47947738"/>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rsidR="001D6E71" w:rsidRPr="008D01AC" w:rsidRDefault="001D6E71" w:rsidP="00BD5A0E">
      <w:pPr>
        <w:pStyle w:val="Odrka1-2-"/>
        <w:spacing w:after="0"/>
      </w:pPr>
      <w:r w:rsidRPr="008D01AC">
        <w:t>projektovou činnost ve výstavbě</w:t>
      </w:r>
    </w:p>
    <w:p w:rsidR="001D6E71" w:rsidRPr="008D01AC" w:rsidRDefault="001D6E71" w:rsidP="00BD5A0E">
      <w:pPr>
        <w:pStyle w:val="Odrka1-2-"/>
        <w:spacing w:after="0"/>
      </w:pPr>
      <w:r w:rsidRPr="008D01AC">
        <w:t>výkon zeměměřických činností</w:t>
      </w:r>
    </w:p>
    <w:p w:rsidR="0062741F" w:rsidRDefault="0062741F" w:rsidP="0062741F">
      <w:pPr>
        <w:pStyle w:val="Odrka1-2-"/>
      </w:pPr>
      <w:r w:rsidRPr="008D01AC">
        <w:t>poradenská a konzultační činnost, zpracování odborných studií a posudků</w:t>
      </w:r>
    </w:p>
    <w:p w:rsidR="008D01AC" w:rsidRPr="008D01AC" w:rsidRDefault="008D01AC" w:rsidP="008D01AC">
      <w:pPr>
        <w:pStyle w:val="Odrka1-2-"/>
        <w:numPr>
          <w:ilvl w:val="0"/>
          <w:numId w:val="0"/>
        </w:numPr>
        <w:ind w:left="1531"/>
      </w:pPr>
    </w:p>
    <w:p w:rsidR="0035531B" w:rsidRDefault="0035531B" w:rsidP="00092CC9">
      <w:pPr>
        <w:pStyle w:val="Odrka1-1"/>
      </w:pPr>
      <w:r>
        <w:t>Odborná způsobilost:</w:t>
      </w:r>
    </w:p>
    <w:p w:rsidR="00BD5A0E" w:rsidRDefault="00BD5A0E" w:rsidP="00BD5A0E">
      <w:pPr>
        <w:pStyle w:val="Odrka1-2-"/>
      </w:pPr>
      <w:r w:rsidRPr="008D01AC">
        <w:t xml:space="preserve">Zadavatel požaduje předložení dokladu o autorizaci v rozsahu dle § 5 odst. 3 písm. </w:t>
      </w:r>
      <w:r w:rsidRPr="008D01AC">
        <w:rPr>
          <w:b/>
        </w:rPr>
        <w:t>e)</w:t>
      </w:r>
      <w:r w:rsidRPr="008D01AC">
        <w:t xml:space="preserve"> specializace </w:t>
      </w:r>
      <w:r w:rsidR="008D01AC" w:rsidRPr="008D01AC">
        <w:t>pro technologická zařízení staveb zá</w:t>
      </w:r>
      <w:r w:rsidRPr="008D01AC">
        <w:t>kona č. 360/1992 Sb., o výkonu povolání autorizovaných architektů a o výkonu povolání autorizovaných inženýrů a techniků činných</w:t>
      </w:r>
      <w:r>
        <w:t xml:space="preserve">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w:t>
      </w:r>
      <w:r w:rsidRPr="008D01AC">
        <w:t xml:space="preserve">písm. </w:t>
      </w:r>
      <w:r w:rsidRPr="008D01AC">
        <w:rPr>
          <w:b/>
        </w:rPr>
        <w:t xml:space="preserve">a) </w:t>
      </w:r>
      <w:r w:rsidRPr="008D01AC">
        <w:t>a</w:t>
      </w:r>
      <w:r w:rsidRPr="008D01AC">
        <w:rPr>
          <w:b/>
        </w:rPr>
        <w:t xml:space="preserve"> c)</w:t>
      </w:r>
      <w:r w:rsidRPr="008D01AC">
        <w:t xml:space="preserve"> zákona</w:t>
      </w:r>
      <w:r>
        <w:t xml:space="preserve"> č. 200/1994 Sb., o zeměměřictví a o změně a doplnění některých zákonů souvisejících s jeho zavedením,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w:t>
      </w:r>
      <w:r w:rsidRPr="008D01AC">
        <w:t xml:space="preserve">posledních </w:t>
      </w:r>
      <w:r w:rsidR="007D63FC" w:rsidRPr="008D01AC">
        <w:t>5</w:t>
      </w:r>
      <w:r w:rsidRPr="008D01AC">
        <w:t xml:space="preserve"> letech</w:t>
      </w:r>
      <w:r>
        <w:t xml:space="preserve">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w:t>
      </w:r>
      <w:r w:rsidR="00195CAC" w:rsidRPr="003120CA">
        <w:t xml:space="preserve">společném stupni projektové dokumentace pro společné povolení a projektové dokumentace pro provádění stavby (DUSP+PDPS) </w:t>
      </w:r>
      <w:r w:rsidRPr="003120CA">
        <w:t xml:space="preserve">pro stavby železničních drah ve smyslu § 5 odst. 1 a § 3 odst. 1  zák. č. 266/1994 Sb., o dráhách, ve znění pozdějších předpisů. Za službu obdobného charakteru, resp. projektové práce spočívající ve zhotovení projektové dokumentace ve stupni </w:t>
      </w:r>
      <w:r w:rsidR="007D63FC" w:rsidRPr="003120CA">
        <w:t>DUR</w:t>
      </w:r>
      <w:r w:rsidR="00195CAC" w:rsidRPr="003120CA">
        <w:t xml:space="preserve"> nebo</w:t>
      </w:r>
      <w:r w:rsidR="007D63FC" w:rsidRPr="003120CA">
        <w:t xml:space="preserve"> </w:t>
      </w:r>
      <w:r w:rsidRPr="003120CA">
        <w:t>DSP</w:t>
      </w:r>
      <w:r w:rsidR="00195CAC" w:rsidRPr="003120CA">
        <w:t xml:space="preserve"> nebo</w:t>
      </w:r>
      <w:r w:rsidRPr="003120CA">
        <w:t xml:space="preserve"> DSP+PDPS nebo DUSP</w:t>
      </w:r>
      <w:r w:rsidR="00195CAC" w:rsidRPr="003120CA">
        <w:t xml:space="preserve"> nebo DUSP+PDPS</w:t>
      </w:r>
      <w:r w:rsidRPr="003120CA">
        <w:t>, zadavatel považuje rovněž provedení</w:t>
      </w:r>
      <w:r>
        <w:t xml:space="preserve">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EE0656">
        <w:t xml:space="preserve">písm. a), </w:t>
      </w:r>
      <w:r w:rsidR="00EE0656" w:rsidRPr="00EE0656">
        <w:t xml:space="preserve">a </w:t>
      </w:r>
      <w:r w:rsidRPr="00EE0656">
        <w:t>b) (dále jen „</w:t>
      </w:r>
      <w:r w:rsidRPr="00EE0656">
        <w:rPr>
          <w:b/>
        </w:rPr>
        <w:t>významné služby</w:t>
      </w:r>
      <w:r w:rsidRPr="00EE0656">
        <w:t>“). Dodavatel</w:t>
      </w:r>
      <w:r>
        <w:t xml:space="preserve"> musí informacemi uvedenými v předloženém seznamu významných služeb prokázat, že v uvedeném období poskytl významné služby, jejichž předmětem byly mimo jiné následující činnosti: </w:t>
      </w:r>
    </w:p>
    <w:p w:rsidR="00392730" w:rsidRDefault="00392730" w:rsidP="00392730">
      <w:pPr>
        <w:pStyle w:val="Textbezslovn"/>
      </w:pPr>
    </w:p>
    <w:p w:rsidR="003A5938" w:rsidRPr="00D807B9" w:rsidRDefault="00392730" w:rsidP="00FB3994">
      <w:pPr>
        <w:pStyle w:val="Odstavec1-1a"/>
        <w:numPr>
          <w:ilvl w:val="0"/>
          <w:numId w:val="14"/>
        </w:numPr>
      </w:pPr>
      <w:r w:rsidRPr="00D807B9">
        <w:lastRenderedPageBreak/>
        <w:t>zpracování dokumentace ve stupni</w:t>
      </w:r>
      <w:r w:rsidR="003A5938" w:rsidRPr="00D807B9">
        <w:t xml:space="preserve"> záměru projektu, </w:t>
      </w:r>
      <w:r w:rsidR="00CC16CC" w:rsidRPr="00D807B9">
        <w:t xml:space="preserve">DUR nebo </w:t>
      </w:r>
      <w:r w:rsidRPr="00D807B9">
        <w:t xml:space="preserve">DSP nebo DSP+PDPS nebo DUSP </w:t>
      </w:r>
      <w:r w:rsidR="006E750A" w:rsidRPr="00D807B9">
        <w:t xml:space="preserve">nebo DUSP+PDPS </w:t>
      </w:r>
      <w:r w:rsidR="003A5938" w:rsidRPr="00D807B9">
        <w:t xml:space="preserve">obsahující rekonstrukci nebo novostavbu </w:t>
      </w:r>
      <w:r w:rsidR="003A5938" w:rsidRPr="00D807B9">
        <w:rPr>
          <w:b/>
          <w:bCs/>
        </w:rPr>
        <w:t xml:space="preserve"> systému ETCS </w:t>
      </w:r>
      <w:r w:rsidR="00BC26F6" w:rsidRPr="00D807B9">
        <w:rPr>
          <w:b/>
          <w:bCs/>
        </w:rPr>
        <w:t xml:space="preserve">v délce alespoň </w:t>
      </w:r>
      <w:r w:rsidR="002A4705">
        <w:rPr>
          <w:b/>
          <w:bCs/>
        </w:rPr>
        <w:t>35</w:t>
      </w:r>
      <w:r w:rsidR="00BC26F6" w:rsidRPr="00D807B9">
        <w:rPr>
          <w:b/>
          <w:bCs/>
        </w:rPr>
        <w:t xml:space="preserve"> km trati, </w:t>
      </w:r>
      <w:r w:rsidR="003A5938" w:rsidRPr="00D807B9">
        <w:rPr>
          <w:b/>
          <w:bCs/>
        </w:rPr>
        <w:t xml:space="preserve">včetně příslušného doplnění a úprav systému GSM-R. </w:t>
      </w:r>
    </w:p>
    <w:p w:rsidR="003A5938" w:rsidRPr="00D807B9" w:rsidRDefault="00392730" w:rsidP="003A5938">
      <w:pPr>
        <w:pStyle w:val="Odstavec1-1a"/>
        <w:numPr>
          <w:ilvl w:val="0"/>
          <w:numId w:val="14"/>
        </w:numPr>
      </w:pPr>
      <w:r w:rsidRPr="00D807B9">
        <w:t xml:space="preserve">zpracování dokumentace ve stupni </w:t>
      </w:r>
      <w:r w:rsidR="003A5938" w:rsidRPr="00D807B9">
        <w:t xml:space="preserve">záměru projektu, </w:t>
      </w:r>
      <w:r w:rsidR="00CC16CC" w:rsidRPr="00D807B9">
        <w:t xml:space="preserve">DUR nebo </w:t>
      </w:r>
      <w:r w:rsidRPr="00D807B9">
        <w:t xml:space="preserve">DSP nebo DSP+PDPS nebo DUSP </w:t>
      </w:r>
      <w:r w:rsidR="006E750A" w:rsidRPr="00D807B9">
        <w:t xml:space="preserve">nebo DUSP+PDPS </w:t>
      </w:r>
      <w:r w:rsidRPr="00D807B9">
        <w:t xml:space="preserve">pro rekonstrukci nebo novostavbu </w:t>
      </w:r>
      <w:r w:rsidR="003A5938" w:rsidRPr="00D807B9">
        <w:rPr>
          <w:b/>
        </w:rPr>
        <w:t xml:space="preserve"> systému GSM-R s pokrytím alespoň </w:t>
      </w:r>
      <w:r w:rsidR="002A4705">
        <w:rPr>
          <w:b/>
        </w:rPr>
        <w:t>35</w:t>
      </w:r>
      <w:r w:rsidR="003A5938" w:rsidRPr="00D807B9">
        <w:rPr>
          <w:b/>
        </w:rPr>
        <w:t xml:space="preserve"> traťových kilometrů.</w:t>
      </w:r>
    </w:p>
    <w:p w:rsidR="00392730" w:rsidRDefault="00392730" w:rsidP="00392730">
      <w:pPr>
        <w:pStyle w:val="Textbezslovn"/>
      </w:pPr>
      <w:r w:rsidRPr="00D807B9">
        <w:rPr>
          <w:b/>
        </w:rPr>
        <w:t xml:space="preserve">Každá z </w:t>
      </w:r>
      <w:r w:rsidR="00EE0656" w:rsidRPr="00D807B9">
        <w:rPr>
          <w:b/>
        </w:rPr>
        <w:t>činností uvedených pod písm. a) a</w:t>
      </w:r>
      <w:r w:rsidRPr="00D807B9">
        <w:rPr>
          <w:b/>
        </w:rPr>
        <w:t xml:space="preserve"> b) výše</w:t>
      </w:r>
      <w:r w:rsidRPr="00D807B9">
        <w:t xml:space="preserve">  </w:t>
      </w:r>
      <w:r w:rsidRPr="00D807B9">
        <w:rPr>
          <w:b/>
        </w:rPr>
        <w:t xml:space="preserve">musí být doložena alespoň </w:t>
      </w:r>
      <w:r w:rsidR="009877C7" w:rsidRPr="00D807B9">
        <w:rPr>
          <w:b/>
        </w:rPr>
        <w:t>jednou</w:t>
      </w:r>
      <w:r w:rsidRPr="00D807B9">
        <w:rPr>
          <w:b/>
        </w:rPr>
        <w:t xml:space="preserve"> referenční zakázk</w:t>
      </w:r>
      <w:r w:rsidR="009877C7" w:rsidRPr="00D807B9">
        <w:rPr>
          <w:b/>
        </w:rPr>
        <w:t>ou</w:t>
      </w:r>
      <w:r w:rsidRPr="00D807B9">
        <w:rPr>
          <w:b/>
        </w:rPr>
        <w:t xml:space="preserve"> (významných službách).</w:t>
      </w:r>
    </w:p>
    <w:p w:rsidR="00EE0656" w:rsidRDefault="00392730" w:rsidP="00392730">
      <w:pPr>
        <w:pStyle w:val="Textbezslovn"/>
      </w:pPr>
      <w:r w:rsidRPr="00EE0656">
        <w:t>Parametry, resp. požadavky na obsahovou náplň činností, uvedené výše pod písm. a)</w:t>
      </w:r>
      <w:r w:rsidR="00EE0656" w:rsidRPr="00EE0656">
        <w:t xml:space="preserve"> a</w:t>
      </w:r>
      <w:r w:rsidRPr="00EE0656">
        <w:t xml:space="preserve"> b) lze splnit všechny současně v rámci jedné referenční zakázky (významné služby), ale připouští se i splnění požadavků dle písm. a)</w:t>
      </w:r>
      <w:r w:rsidR="00EE0656" w:rsidRPr="00EE0656">
        <w:t xml:space="preserve"> a</w:t>
      </w:r>
      <w:r w:rsidRPr="00EE0656">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w:t>
      </w:r>
      <w:r>
        <w:t xml:space="preserve"> za účelem prokázání technické kvalifikace sčítat z více referenčních zakázek (významných služeb). </w:t>
      </w:r>
    </w:p>
    <w:p w:rsidR="00392730" w:rsidRDefault="00392730" w:rsidP="00392730">
      <w:pPr>
        <w:pStyle w:val="Textbezslovn"/>
      </w:pPr>
      <w:r>
        <w:t xml:space="preserve">Celkový součet cen významných služeb za </w:t>
      </w:r>
      <w:r w:rsidRPr="00E21614">
        <w:t xml:space="preserve">posledních </w:t>
      </w:r>
      <w:r w:rsidR="00EB282B" w:rsidRPr="00E21614">
        <w:t>5</w:t>
      </w:r>
      <w:r w:rsidRPr="00E21614">
        <w:t xml:space="preserve"> let před</w:t>
      </w:r>
      <w:r>
        <w:t xml:space="preserve"> zahájením zadávacího řízení, které dodavatel poskytl, musí dosahovat v souhrnu, včetně případných poddodávek, minimálně </w:t>
      </w:r>
      <w:r w:rsidR="00E21614" w:rsidRPr="00E21614">
        <w:rPr>
          <w:b/>
        </w:rPr>
        <w:t>16 mil.</w:t>
      </w:r>
      <w:r w:rsidR="00E21614">
        <w:t xml:space="preserve"> </w:t>
      </w:r>
      <w:r w:rsidRPr="00392730">
        <w:rPr>
          <w:b/>
        </w:rPr>
        <w:t>Kč</w:t>
      </w:r>
      <w:r>
        <w:t xml:space="preserve"> bez DPH, přičemž alespoň jedna významná služba musí dosahovat ceny nejméně </w:t>
      </w:r>
      <w:r w:rsidR="00E21614" w:rsidRPr="00E21614">
        <w:rPr>
          <w:b/>
        </w:rPr>
        <w:t>8 mil.</w:t>
      </w:r>
      <w:r w:rsidR="00E21614">
        <w:t xml:space="preserve"> </w:t>
      </w:r>
      <w:r w:rsidRPr="00392730">
        <w:rPr>
          <w:b/>
        </w:rPr>
        <w:t>Kč</w:t>
      </w:r>
      <w:r>
        <w:t xml:space="preserve"> bez DPH. </w:t>
      </w:r>
    </w:p>
    <w:p w:rsidR="00392730" w:rsidRPr="00E21614"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w:t>
      </w:r>
      <w:r w:rsidRPr="00E21614">
        <w:t>předložen i v případě, že byla objednatelem Správa železni</w:t>
      </w:r>
      <w:r w:rsidR="00040961" w:rsidRPr="00E21614">
        <w:t>c</w:t>
      </w:r>
      <w:r w:rsidRPr="00E21614">
        <w:t>, státní organizace. Zadavatel si vyhrazuje právo ověřit správnost údajů uvedených v seznamu významných služeb.</w:t>
      </w:r>
    </w:p>
    <w:p w:rsidR="00392730" w:rsidRDefault="00392730" w:rsidP="00392730">
      <w:pPr>
        <w:pStyle w:val="Textbezslovn"/>
      </w:pPr>
      <w:r w:rsidRPr="00E21614">
        <w:t xml:space="preserve">Doba </w:t>
      </w:r>
      <w:r w:rsidR="00624EB2" w:rsidRPr="00E21614">
        <w:t>5</w:t>
      </w:r>
      <w:r w:rsidRPr="00E21614">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E21614">
        <w:t>5</w:t>
      </w:r>
      <w:r w:rsidRPr="00E21614">
        <w:t xml:space="preserve"> let před zahájením zadávacího řízení. V případě, že byla referovaná významná služba, resp. činnost (tj. </w:t>
      </w:r>
      <w:r w:rsidR="00BD2F67" w:rsidRPr="00E21614">
        <w:t xml:space="preserve">např. </w:t>
      </w:r>
      <w:r w:rsidRPr="00E21614">
        <w:t xml:space="preserve">projektové práce </w:t>
      </w:r>
      <w:r w:rsidR="00184075" w:rsidRPr="00E21614">
        <w:t xml:space="preserve">spočívající ve zpracování </w:t>
      </w:r>
      <w:r w:rsidR="00184075" w:rsidRPr="00E21614">
        <w:rPr>
          <w:rFonts w:cs="Arial"/>
          <w:bCs/>
        </w:rPr>
        <w:t xml:space="preserve">dokumentace </w:t>
      </w:r>
      <w:r w:rsidRPr="00E21614">
        <w:t xml:space="preserve">ve stupni </w:t>
      </w:r>
      <w:r w:rsidR="00624EB2" w:rsidRPr="00E21614">
        <w:t xml:space="preserve">DUR, </w:t>
      </w:r>
      <w:r w:rsidR="006A070D" w:rsidRPr="00E21614">
        <w:t xml:space="preserve">nebo </w:t>
      </w:r>
      <w:r w:rsidRPr="00E21614">
        <w:t xml:space="preserve">DSP nebo DSP+PDPS nebo DUSP </w:t>
      </w:r>
      <w:r w:rsidR="006E750A" w:rsidRPr="00E21614">
        <w:t xml:space="preserve">nebo DUSP+PDPS </w:t>
      </w:r>
      <w:r w:rsidRPr="00E21614">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rsidRPr="00E21614">
        <w:t xml:space="preserve">v uvedené době </w:t>
      </w:r>
      <w:r w:rsidRPr="00E21614">
        <w:t xml:space="preserve">dokončeno plnění v rozsahu referované činnosti (tj. </w:t>
      </w:r>
      <w:r w:rsidR="00403C99" w:rsidRPr="00E21614">
        <w:t xml:space="preserve">např. </w:t>
      </w:r>
      <w:r w:rsidRPr="00E21614">
        <w:t xml:space="preserve">projektové práce </w:t>
      </w:r>
      <w:r w:rsidR="00446757" w:rsidRPr="00E21614">
        <w:t xml:space="preserve">spočívající ve zpracování </w:t>
      </w:r>
      <w:r w:rsidR="00446757" w:rsidRPr="00E21614">
        <w:rPr>
          <w:rFonts w:cs="Arial"/>
          <w:bCs/>
        </w:rPr>
        <w:t xml:space="preserve">dokumentace </w:t>
      </w:r>
      <w:r w:rsidRPr="00E21614">
        <w:t xml:space="preserve">ve stupni </w:t>
      </w:r>
      <w:r w:rsidR="006A070D" w:rsidRPr="00E21614">
        <w:t xml:space="preserve">DUR nebo </w:t>
      </w:r>
      <w:r w:rsidRPr="00E21614">
        <w:t xml:space="preserve">DSP nebo DSP+PDPS nebo DUSP </w:t>
      </w:r>
      <w:r w:rsidR="006E750A" w:rsidRPr="00E21614">
        <w:t xml:space="preserve">nebo DUSP+PDPS </w:t>
      </w:r>
      <w:r w:rsidRPr="00E21614">
        <w:t>pro stavby železničních drah)</w:t>
      </w:r>
      <w:r w:rsidR="002821CE" w:rsidRPr="00E21614">
        <w:t xml:space="preserve"> s tím, že zakázka jako celek (tj. ohledně dalších činností, např. autorského dozoru při realizaci stavby) dokončena není</w:t>
      </w:r>
      <w:r w:rsidR="0016521E" w:rsidRPr="00E21614">
        <w:t xml:space="preserve">;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w:t>
      </w:r>
      <w:r w:rsidR="00403C99" w:rsidRPr="00E21614">
        <w:t xml:space="preserve">např. </w:t>
      </w:r>
      <w:r w:rsidR="0016521E" w:rsidRPr="00E21614">
        <w:t>zpracování projektové dokumentace) bylo dokončeno dříve než před 5 lety</w:t>
      </w:r>
      <w:r w:rsidRPr="00E21614">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w:t>
      </w:r>
      <w:r>
        <w:t>povídá zadavatelem stanovené minimální úrovni významné služby, a v jakém časovém období byly tyto konkrétní služby poskytovány.</w:t>
      </w:r>
    </w:p>
    <w:p w:rsidR="00392730" w:rsidRDefault="00392730" w:rsidP="00392730">
      <w:pPr>
        <w:pStyle w:val="Textbezslovn"/>
      </w:pPr>
      <w:r>
        <w:lastRenderedPageBreak/>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D807B9" w:rsidRDefault="00D807B9" w:rsidP="009E1AEE">
      <w:pPr>
        <w:pStyle w:val="Textbezslovn"/>
      </w:pPr>
    </w:p>
    <w:p w:rsidR="00D807B9" w:rsidRDefault="00D807B9" w:rsidP="009E1AEE">
      <w:pPr>
        <w:pStyle w:val="Textbezslovn"/>
      </w:pPr>
    </w:p>
    <w:p w:rsidR="009E1AEE" w:rsidRPr="008A121B" w:rsidRDefault="009E1AEE" w:rsidP="0077382B">
      <w:pPr>
        <w:pStyle w:val="Odstavec1-1a"/>
        <w:numPr>
          <w:ilvl w:val="0"/>
          <w:numId w:val="16"/>
        </w:numPr>
        <w:rPr>
          <w:b/>
        </w:rPr>
      </w:pPr>
      <w:r w:rsidRPr="008A121B">
        <w:rPr>
          <w:b/>
        </w:rPr>
        <w:lastRenderedPageBreak/>
        <w:t xml:space="preserve">vedoucí týmu </w:t>
      </w:r>
    </w:p>
    <w:p w:rsidR="00D474A0" w:rsidRPr="008A121B" w:rsidRDefault="009E1AEE" w:rsidP="009E1AEE">
      <w:pPr>
        <w:pStyle w:val="Odrka1-2-"/>
      </w:pPr>
      <w:r w:rsidRPr="008A121B">
        <w:t xml:space="preserve">vysokoškolské vzdělání; </w:t>
      </w:r>
    </w:p>
    <w:p w:rsidR="009E1AEE" w:rsidRPr="00421C6A" w:rsidRDefault="009E1AEE" w:rsidP="009E1AEE">
      <w:pPr>
        <w:pStyle w:val="Odrka1-2-"/>
      </w:pPr>
      <w:r w:rsidRPr="008A121B">
        <w:t xml:space="preserve">nejméně 5 </w:t>
      </w:r>
      <w:r w:rsidRPr="00421C6A">
        <w:t xml:space="preserve">let praxe v projektování obdobných zakázek, které obsahovaly alespoň následující činnosti: projektování </w:t>
      </w:r>
      <w:r w:rsidR="009877C7" w:rsidRPr="00421C6A">
        <w:t>na systému ETCS</w:t>
      </w:r>
      <w:r w:rsidR="008A121B" w:rsidRPr="00421C6A">
        <w:t xml:space="preserve"> </w:t>
      </w:r>
      <w:r w:rsidR="009877C7" w:rsidRPr="00421C6A">
        <w:t xml:space="preserve">nebo </w:t>
      </w:r>
      <w:r w:rsidR="008A121B" w:rsidRPr="00421C6A">
        <w:t xml:space="preserve">projektování </w:t>
      </w:r>
      <w:r w:rsidR="00D807B9" w:rsidRPr="00421C6A">
        <w:t xml:space="preserve">na </w:t>
      </w:r>
      <w:r w:rsidR="008A121B" w:rsidRPr="00421C6A">
        <w:t xml:space="preserve">systému </w:t>
      </w:r>
      <w:r w:rsidR="009877C7" w:rsidRPr="00421C6A">
        <w:t>GSM-R</w:t>
      </w:r>
      <w:r w:rsidRPr="00421C6A">
        <w:t xml:space="preserve">; </w:t>
      </w:r>
    </w:p>
    <w:p w:rsidR="009E1AEE" w:rsidRPr="00304CE1" w:rsidRDefault="009E1AEE" w:rsidP="009E1AEE">
      <w:pPr>
        <w:pStyle w:val="Odrka1-2-"/>
      </w:pPr>
      <w:r w:rsidRPr="00421C6A">
        <w:t>autorizace v</w:t>
      </w:r>
      <w:r w:rsidR="00304CE1" w:rsidRPr="00421C6A">
        <w:t xml:space="preserve"> rozsahu dle § 5 odst. 3 písm. e</w:t>
      </w:r>
      <w:r w:rsidRPr="00421C6A">
        <w:t>) zák. č. 360/1992 Sb., o výkonu povolání autorizovaných architektů a o výkonu povolání autorizovaných inženýrů a techniků činných ve výstavbě, ve</w:t>
      </w:r>
      <w:r w:rsidRPr="00304CE1">
        <w:t xml:space="preserve"> znění pozdějších předpisů (dále jen „autorizační zákon“), tedy pro </w:t>
      </w:r>
      <w:r w:rsidR="00304CE1" w:rsidRPr="00304CE1">
        <w:t>technologická zařízení stave;</w:t>
      </w:r>
      <w:r w:rsidRPr="00304CE1">
        <w:t xml:space="preserve"> </w:t>
      </w:r>
    </w:p>
    <w:p w:rsidR="009E1AEE" w:rsidRPr="00304CE1" w:rsidRDefault="009E1AEE" w:rsidP="00B51E0F">
      <w:pPr>
        <w:pStyle w:val="Odrka1-2-"/>
      </w:pPr>
      <w:r w:rsidRPr="00D807B9">
        <w:t xml:space="preserve">prokázat zkušenosti s plněním alespoň dvou zakázek na projektové práce </w:t>
      </w:r>
      <w:r w:rsidR="00B51E0F" w:rsidRPr="00D807B9">
        <w:t xml:space="preserve">spočívající ve zpracování dokumentace </w:t>
      </w:r>
      <w:r w:rsidRPr="00D807B9">
        <w:t xml:space="preserve">pro stavby železničních drah ve stupni </w:t>
      </w:r>
      <w:r w:rsidR="00304CE1" w:rsidRPr="00D807B9">
        <w:t xml:space="preserve">záměru projektu, </w:t>
      </w:r>
      <w:r w:rsidR="00D474A0" w:rsidRPr="00D807B9">
        <w:t xml:space="preserve">DUR nebo </w:t>
      </w:r>
      <w:r w:rsidRPr="00D807B9">
        <w:t xml:space="preserve">DSP nebo DSP+PDPS nebo DUSP </w:t>
      </w:r>
      <w:r w:rsidR="006E750A" w:rsidRPr="00D807B9">
        <w:t xml:space="preserve">nebo DUSP+PDPS </w:t>
      </w:r>
      <w:r w:rsidRPr="00D807B9">
        <w:t>ve funkci vedoucího týmu, přičemž se musí jednat o zakázky dokončené, avšak zadavatel nestanoví maximální</w:t>
      </w:r>
      <w:r w:rsidRPr="00304CE1">
        <w:t xml:space="preserve">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304CE1">
        <w:t>í v rozsahu referované činnosti;</w:t>
      </w:r>
      <w:r w:rsidRPr="00304CE1">
        <w:t xml:space="preserve">  </w:t>
      </w:r>
    </w:p>
    <w:p w:rsidR="009E1AEE" w:rsidRPr="003120CA" w:rsidRDefault="009E1AEE" w:rsidP="0077382B">
      <w:pPr>
        <w:pStyle w:val="Odstavec1-1a"/>
        <w:numPr>
          <w:ilvl w:val="0"/>
          <w:numId w:val="16"/>
        </w:numPr>
        <w:rPr>
          <w:b/>
        </w:rPr>
      </w:pPr>
      <w:r w:rsidRPr="003120CA">
        <w:rPr>
          <w:b/>
        </w:rPr>
        <w:t>specialista na zabezpečovací zařízení</w:t>
      </w:r>
    </w:p>
    <w:p w:rsidR="00355D2A" w:rsidRPr="003120CA" w:rsidRDefault="009E1AEE" w:rsidP="00355D2A">
      <w:pPr>
        <w:pStyle w:val="Odrka1-2-"/>
      </w:pPr>
      <w:r w:rsidRPr="003120CA">
        <w:t xml:space="preserve">vysokoškolské vzdělání; </w:t>
      </w:r>
    </w:p>
    <w:p w:rsidR="00355D2A" w:rsidRPr="003120CA" w:rsidRDefault="009E1AEE" w:rsidP="00355D2A">
      <w:pPr>
        <w:pStyle w:val="Odrka1-2-"/>
      </w:pPr>
      <w:r w:rsidRPr="003120CA">
        <w:t xml:space="preserve">nejméně 5 let praxe ve svém oboru </w:t>
      </w:r>
      <w:r w:rsidR="0024255A" w:rsidRPr="003120CA">
        <w:t xml:space="preserve">(zabezpečovací zařízení) </w:t>
      </w:r>
      <w:r w:rsidRPr="003120CA">
        <w:t>v projektování obdobných zakázek;</w:t>
      </w:r>
    </w:p>
    <w:p w:rsidR="009E1AEE" w:rsidRPr="003120CA" w:rsidRDefault="009E1AEE" w:rsidP="00355D2A">
      <w:pPr>
        <w:pStyle w:val="Odrka1-2-"/>
      </w:pPr>
      <w:r w:rsidRPr="003120CA">
        <w:t xml:space="preserve">autorizace v rozsahu dle § 5 odst. 3 písm. e) autorizačního zákona, tedy v oboru technologická zařízení staveb; </w:t>
      </w:r>
    </w:p>
    <w:p w:rsidR="009E1AEE" w:rsidRPr="003120CA" w:rsidRDefault="009E1AEE" w:rsidP="0077382B">
      <w:pPr>
        <w:pStyle w:val="Odstavec1-1a"/>
        <w:numPr>
          <w:ilvl w:val="0"/>
          <w:numId w:val="16"/>
        </w:numPr>
        <w:rPr>
          <w:b/>
        </w:rPr>
      </w:pPr>
      <w:r w:rsidRPr="003120CA">
        <w:rPr>
          <w:b/>
        </w:rPr>
        <w:t>specialista na sdělovací zařízení</w:t>
      </w:r>
    </w:p>
    <w:p w:rsidR="00355D2A" w:rsidRPr="003120CA" w:rsidRDefault="009E1AEE" w:rsidP="00355D2A">
      <w:pPr>
        <w:pStyle w:val="Odrka1-2-"/>
      </w:pPr>
      <w:r w:rsidRPr="003120CA">
        <w:t xml:space="preserve">vysokoškolské vzdělání; </w:t>
      </w:r>
    </w:p>
    <w:p w:rsidR="00355D2A" w:rsidRPr="003120CA" w:rsidRDefault="009E1AEE" w:rsidP="00355D2A">
      <w:pPr>
        <w:pStyle w:val="Odrka1-2-"/>
      </w:pPr>
      <w:r w:rsidRPr="003120CA">
        <w:t xml:space="preserve">nejméně 5 let praxe ve svém oboru </w:t>
      </w:r>
      <w:r w:rsidR="0024255A" w:rsidRPr="003120CA">
        <w:t xml:space="preserve">(sdělovací zařízení) </w:t>
      </w:r>
      <w:r w:rsidRPr="003120CA">
        <w:t xml:space="preserve">v projektování obdobných zakázek; </w:t>
      </w:r>
    </w:p>
    <w:p w:rsidR="009E1AEE" w:rsidRPr="003120CA" w:rsidRDefault="009E1AEE" w:rsidP="00355D2A">
      <w:pPr>
        <w:pStyle w:val="Odrka1-2-"/>
      </w:pPr>
      <w:r w:rsidRPr="003120CA">
        <w:t xml:space="preserve">autorizace v rozsahu dle § 5 odst. 3 písm. e) autorizačního zákona, tedy v oboru technologická zařízení staveb; </w:t>
      </w:r>
    </w:p>
    <w:p w:rsidR="009E1AEE" w:rsidRPr="003120CA" w:rsidRDefault="009E1AEE" w:rsidP="0077382B">
      <w:pPr>
        <w:pStyle w:val="Odstavec1-1a"/>
        <w:numPr>
          <w:ilvl w:val="0"/>
          <w:numId w:val="16"/>
        </w:numPr>
        <w:rPr>
          <w:b/>
        </w:rPr>
      </w:pPr>
      <w:r w:rsidRPr="003120CA">
        <w:rPr>
          <w:b/>
        </w:rPr>
        <w:t>specialista na silnoproudou technologii</w:t>
      </w:r>
    </w:p>
    <w:p w:rsidR="00355D2A" w:rsidRPr="003120CA" w:rsidRDefault="009E1AEE" w:rsidP="00355D2A">
      <w:pPr>
        <w:pStyle w:val="Odrka1-2-"/>
      </w:pPr>
      <w:r w:rsidRPr="003120CA">
        <w:t xml:space="preserve">vysokoškolské vzdělání;  </w:t>
      </w:r>
    </w:p>
    <w:p w:rsidR="00355D2A" w:rsidRPr="003120CA" w:rsidRDefault="009E1AEE" w:rsidP="00355D2A">
      <w:pPr>
        <w:pStyle w:val="Odrka1-2-"/>
      </w:pPr>
      <w:r w:rsidRPr="003120CA">
        <w:t xml:space="preserve">nejméně 5 let praxe ve svém oboru </w:t>
      </w:r>
      <w:r w:rsidR="0024255A" w:rsidRPr="003120CA">
        <w:t xml:space="preserve">(silnoproudá technologie) </w:t>
      </w:r>
      <w:r w:rsidRPr="003120CA">
        <w:t xml:space="preserve">v projektování obdobných zakázek; </w:t>
      </w:r>
    </w:p>
    <w:p w:rsidR="009E1AEE" w:rsidRPr="003120CA" w:rsidRDefault="009E1AEE" w:rsidP="00355D2A">
      <w:pPr>
        <w:pStyle w:val="Odrka1-2-"/>
      </w:pPr>
      <w:r w:rsidRPr="003120CA">
        <w:t xml:space="preserve">autorizace v rozsahu dle § 5 odst. 3 písm. e) autorizačního zákona, tedy v oboru technologická zařízení staveb; </w:t>
      </w:r>
    </w:p>
    <w:p w:rsidR="009E1AEE" w:rsidRPr="003120CA" w:rsidRDefault="009E1AEE" w:rsidP="0077382B">
      <w:pPr>
        <w:pStyle w:val="Odstavec1-1a"/>
        <w:numPr>
          <w:ilvl w:val="0"/>
          <w:numId w:val="16"/>
        </w:numPr>
        <w:rPr>
          <w:b/>
        </w:rPr>
      </w:pPr>
      <w:r w:rsidRPr="003120CA">
        <w:rPr>
          <w:b/>
        </w:rPr>
        <w:t>specialista na životní prostředí</w:t>
      </w:r>
    </w:p>
    <w:p w:rsidR="00355D2A" w:rsidRPr="003120CA" w:rsidRDefault="009E1AEE" w:rsidP="00355D2A">
      <w:pPr>
        <w:pStyle w:val="Odrka1-2-"/>
      </w:pPr>
      <w:r w:rsidRPr="003120CA">
        <w:t xml:space="preserve">vysokoškolské vzdělání; </w:t>
      </w:r>
    </w:p>
    <w:p w:rsidR="00355D2A" w:rsidRPr="003120CA" w:rsidRDefault="009E1AEE" w:rsidP="00355D2A">
      <w:pPr>
        <w:pStyle w:val="Odrka1-2-"/>
      </w:pPr>
      <w:r w:rsidRPr="003120CA">
        <w:t xml:space="preserve">nejméně 5 let praxe v projektování v oboru své specializace </w:t>
      </w:r>
      <w:r w:rsidR="0024255A" w:rsidRPr="003120CA">
        <w:t xml:space="preserve">(životní prostředí) </w:t>
      </w:r>
      <w:r w:rsidRPr="003120CA">
        <w:t xml:space="preserve">nebo v posuzování vlivů na životní prostředí; </w:t>
      </w:r>
    </w:p>
    <w:p w:rsidR="009E1AEE" w:rsidRPr="003120CA" w:rsidRDefault="009E1AEE" w:rsidP="00355D2A">
      <w:pPr>
        <w:pStyle w:val="Odrka1-2-"/>
      </w:pPr>
      <w:r w:rsidRPr="003120CA">
        <w:t>autorizace ke zpracování dokumentace a posudku dle § 19 zák. č. 100/2001 Sb., o posuzování vlivů na životní prostředí, ve znění pozdějších předpisů;</w:t>
      </w:r>
    </w:p>
    <w:p w:rsidR="009E1AEE" w:rsidRPr="003120CA" w:rsidRDefault="009E1AEE" w:rsidP="0077382B">
      <w:pPr>
        <w:pStyle w:val="Odstavec1-1a"/>
        <w:numPr>
          <w:ilvl w:val="0"/>
          <w:numId w:val="16"/>
        </w:numPr>
        <w:rPr>
          <w:b/>
        </w:rPr>
      </w:pPr>
      <w:r w:rsidRPr="003120CA">
        <w:rPr>
          <w:b/>
        </w:rPr>
        <w:t>úředně oprávněný zeměměřický inženýr</w:t>
      </w:r>
    </w:p>
    <w:p w:rsidR="00355D2A" w:rsidRPr="003120CA" w:rsidRDefault="009E1AEE" w:rsidP="00355D2A">
      <w:pPr>
        <w:pStyle w:val="Odrka1-2-"/>
      </w:pPr>
      <w:r w:rsidRPr="003120CA">
        <w:t xml:space="preserve">vysokoškolské vzdělání; </w:t>
      </w:r>
    </w:p>
    <w:p w:rsidR="00355D2A" w:rsidRPr="003120CA" w:rsidRDefault="009E1AEE" w:rsidP="00355D2A">
      <w:pPr>
        <w:pStyle w:val="Odrka1-2-"/>
      </w:pPr>
      <w:r w:rsidRPr="003120CA">
        <w:t xml:space="preserve">nejméně 5 let praxe ve svém oboru; </w:t>
      </w:r>
    </w:p>
    <w:p w:rsidR="009E1AEE" w:rsidRPr="00EE0656" w:rsidRDefault="009E1AEE" w:rsidP="00355D2A">
      <w:pPr>
        <w:pStyle w:val="Odrka1-2-"/>
      </w:pPr>
      <w:r w:rsidRPr="003120CA">
        <w:t xml:space="preserve">úřední oprávnění pro ověřování výsledků zeměměřických činností v rozsahu dle § 13 odst. 1 písm. a) a c) zákona č. 200/1994 Sb., o zeměměřictví a o změně a doplnění některých zákonů souvisejících s jeho zavedením, ve znění </w:t>
      </w:r>
      <w:r w:rsidRPr="00EE0656">
        <w:t xml:space="preserve">pozdějších předpisů; </w:t>
      </w:r>
    </w:p>
    <w:p w:rsidR="009E1AEE" w:rsidRPr="00EE0656" w:rsidRDefault="009E1AEE" w:rsidP="0077382B">
      <w:pPr>
        <w:pStyle w:val="Odstavec1-1a"/>
        <w:numPr>
          <w:ilvl w:val="0"/>
          <w:numId w:val="16"/>
        </w:numPr>
        <w:rPr>
          <w:b/>
        </w:rPr>
      </w:pPr>
      <w:r w:rsidRPr="00EE0656">
        <w:rPr>
          <w:b/>
        </w:rPr>
        <w:t>specialista na inženýrskou činnost</w:t>
      </w:r>
    </w:p>
    <w:p w:rsidR="00355D2A" w:rsidRPr="00EE0656" w:rsidRDefault="009E1AEE" w:rsidP="00355D2A">
      <w:pPr>
        <w:pStyle w:val="Odrka1-2-"/>
      </w:pPr>
      <w:r w:rsidRPr="00EE0656">
        <w:lastRenderedPageBreak/>
        <w:t xml:space="preserve">minimálně středoškolské vzdělání; </w:t>
      </w:r>
    </w:p>
    <w:p w:rsidR="009E1AEE" w:rsidRPr="00EE0656" w:rsidRDefault="009E1AEE" w:rsidP="007C6F69">
      <w:pPr>
        <w:pStyle w:val="Odrka1-2-"/>
      </w:pPr>
      <w:r w:rsidRPr="00EE0656">
        <w:t xml:space="preserve">nejméně 5 let praxe při provádění služeb spočívajících mimo jiné ve výkonu inženýrské činnosti pro vydání </w:t>
      </w:r>
      <w:r w:rsidR="007C6F69" w:rsidRPr="00EE0656">
        <w:t xml:space="preserve">územního rozhodnutí, územního souhlasu nebo </w:t>
      </w:r>
      <w:r w:rsidRPr="00EE0656">
        <w:t>společného povolení</w:t>
      </w:r>
      <w:r w:rsidR="00016DBF" w:rsidRPr="00EE0656">
        <w:t>,</w:t>
      </w:r>
      <w:r w:rsidRPr="00EE0656">
        <w:t xml:space="preserve">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w:t>
      </w:r>
      <w:r w:rsidRPr="003120CA">
        <w:t>konkrétních zakázek skutečně podíleli. Za tímto</w:t>
      </w:r>
      <w:r>
        <w:t xml:space="preserve">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w:t>
      </w:r>
      <w:r>
        <w:lastRenderedPageBreak/>
        <w:t>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w:t>
      </w:r>
      <w:r>
        <w:lastRenderedPageBreak/>
        <w:t>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3120CA" w:rsidRPr="00B2309B" w:rsidRDefault="006C21E8" w:rsidP="003120CA">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CC413F" w:rsidRPr="00B2309B" w:rsidRDefault="00CC413F" w:rsidP="003120CA">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7947739"/>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 bez DPH a Ceny za zpracování DUR bez DPH</w:t>
      </w:r>
      <w:r>
        <w:t>;</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 a 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w:t>
      </w:r>
      <w:r>
        <w:lastRenderedPageBreak/>
        <w:t xml:space="preserve">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47947740"/>
      <w:r>
        <w:t>JAZYK NABÍDEK</w:t>
      </w:r>
      <w:r w:rsidR="00A56DEC">
        <w:t xml:space="preserve"> 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47947741"/>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w:t>
      </w:r>
      <w:r w:rsidR="0073700B">
        <w:t xml:space="preserve"> </w:t>
      </w:r>
      <w:r w:rsidRPr="00F348C0">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47947742"/>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47947743"/>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47947744"/>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47947745"/>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47947746"/>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w:t>
      </w:r>
      <w:r>
        <w:lastRenderedPageBreak/>
        <w:t xml:space="preserve">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3120CA" w:rsidRDefault="003120CA" w:rsidP="003120CA">
            <w:pPr>
              <w:jc w:val="center"/>
              <w:rPr>
                <w:sz w:val="16"/>
                <w:szCs w:val="16"/>
              </w:rPr>
            </w:pPr>
            <w:r w:rsidRPr="003120CA">
              <w:rPr>
                <w:sz w:val="16"/>
                <w:szCs w:val="16"/>
              </w:rPr>
              <w:t>--</w:t>
            </w:r>
          </w:p>
        </w:tc>
        <w:tc>
          <w:tcPr>
            <w:tcW w:w="4111" w:type="dxa"/>
            <w:tcBorders>
              <w:bottom w:val="single" w:sz="2" w:space="0" w:color="auto"/>
            </w:tcBorders>
          </w:tcPr>
          <w:p w:rsidR="003A2C23" w:rsidRPr="003120CA" w:rsidRDefault="003120CA"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3120CA">
              <w:rPr>
                <w:sz w:val="16"/>
                <w:szCs w:val="16"/>
              </w:rPr>
              <w:t>--</w:t>
            </w:r>
          </w:p>
        </w:tc>
      </w:tr>
      <w:tr w:rsidR="003A2C23"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3120CA" w:rsidRDefault="003120CA" w:rsidP="003120CA">
            <w:pPr>
              <w:jc w:val="center"/>
              <w:rPr>
                <w:sz w:val="16"/>
                <w:szCs w:val="16"/>
              </w:rPr>
            </w:pPr>
            <w:r w:rsidRPr="003120CA">
              <w:rPr>
                <w:sz w:val="16"/>
                <w:szCs w:val="16"/>
              </w:rPr>
              <w:t>--</w:t>
            </w:r>
          </w:p>
        </w:tc>
        <w:tc>
          <w:tcPr>
            <w:tcW w:w="4111" w:type="dxa"/>
            <w:shd w:val="clear" w:color="auto" w:fill="auto"/>
          </w:tcPr>
          <w:p w:rsidR="003A2C23" w:rsidRPr="003120CA" w:rsidRDefault="003120CA" w:rsidP="00E95FC3">
            <w:pPr>
              <w:jc w:val="center"/>
              <w:cnfStyle w:val="000000000000" w:firstRow="0" w:lastRow="0" w:firstColumn="0" w:lastColumn="0" w:oddVBand="0" w:evenVBand="0" w:oddHBand="0" w:evenHBand="0" w:firstRowFirstColumn="0" w:firstRowLastColumn="0" w:lastRowFirstColumn="0" w:lastRowLastColumn="0"/>
              <w:rPr>
                <w:sz w:val="16"/>
                <w:szCs w:val="16"/>
              </w:rPr>
            </w:pPr>
            <w:r w:rsidRPr="003120CA">
              <w:rPr>
                <w:sz w:val="16"/>
                <w:szCs w:val="16"/>
              </w:rPr>
              <w:t>--</w:t>
            </w: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3120CA" w:rsidRDefault="00941491" w:rsidP="003120CA">
            <w:pPr>
              <w:jc w:val="center"/>
              <w:rPr>
                <w:sz w:val="16"/>
                <w:szCs w:val="16"/>
              </w:rPr>
            </w:pPr>
          </w:p>
        </w:tc>
        <w:tc>
          <w:tcPr>
            <w:tcW w:w="4111" w:type="dxa"/>
            <w:shd w:val="clear" w:color="auto" w:fill="auto"/>
          </w:tcPr>
          <w:p w:rsidR="00941491" w:rsidRPr="003120CA"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3120CA" w:rsidRDefault="003120CA" w:rsidP="003120CA">
            <w:pPr>
              <w:jc w:val="center"/>
              <w:rPr>
                <w:sz w:val="16"/>
                <w:szCs w:val="16"/>
              </w:rPr>
            </w:pPr>
            <w:r w:rsidRPr="003120CA">
              <w:rPr>
                <w:sz w:val="16"/>
                <w:szCs w:val="16"/>
              </w:rPr>
              <w:t>--</w:t>
            </w:r>
          </w:p>
        </w:tc>
        <w:tc>
          <w:tcPr>
            <w:tcW w:w="4111" w:type="dxa"/>
            <w:shd w:val="clear" w:color="auto" w:fill="auto"/>
          </w:tcPr>
          <w:p w:rsidR="00941491" w:rsidRPr="003120CA" w:rsidRDefault="003120CA"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3120CA">
              <w:rPr>
                <w:sz w:val="16"/>
                <w:szCs w:val="16"/>
              </w:rPr>
              <w:t>--</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b w:val="0"/>
                <w:sz w:val="16"/>
                <w:szCs w:val="16"/>
                <w:highlight w:val="green"/>
              </w:rPr>
            </w:pPr>
          </w:p>
        </w:tc>
        <w:tc>
          <w:tcPr>
            <w:tcW w:w="4111" w:type="dxa"/>
            <w:shd w:val="clear" w:color="auto" w:fill="auto"/>
          </w:tcPr>
          <w:p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304CE1" w:rsidRDefault="00B77110" w:rsidP="00631EAA">
            <w:pPr>
              <w:jc w:val="both"/>
              <w:rPr>
                <w:rFonts w:cs="Arial"/>
                <w:bCs/>
              </w:rPr>
            </w:pPr>
            <w:r w:rsidRPr="00304CE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73700B">
            <w:pPr>
              <w:jc w:val="both"/>
              <w:rPr>
                <w:rFonts w:cs="Arial"/>
                <w:bCs/>
              </w:rPr>
            </w:pPr>
            <w:r w:rsidRPr="00B77110">
              <w:rPr>
                <w:rFonts w:cs="Arial"/>
                <w:bCs/>
              </w:rPr>
              <w:t xml:space="preserve">délka praxe v projektování obdobných zakázek, tj. </w:t>
            </w:r>
            <w:r w:rsidRPr="00D807B9">
              <w:rPr>
                <w:rFonts w:cs="Calibri"/>
              </w:rPr>
              <w:t xml:space="preserve">projektových </w:t>
            </w:r>
            <w:r w:rsidRPr="00D807B9">
              <w:rPr>
                <w:rFonts w:cs="Arial"/>
                <w:bCs/>
              </w:rPr>
              <w:t xml:space="preserve">prací pro stavby </w:t>
            </w:r>
            <w:r w:rsidRPr="00421C6A">
              <w:rPr>
                <w:rFonts w:cs="Arial"/>
                <w:bCs/>
              </w:rPr>
              <w:t xml:space="preserve">železničních drah ve stupni </w:t>
            </w:r>
            <w:r w:rsidR="00EE0656" w:rsidRPr="00421C6A">
              <w:rPr>
                <w:rFonts w:cs="Arial"/>
                <w:bCs/>
              </w:rPr>
              <w:t xml:space="preserve">záměru projektu, </w:t>
            </w:r>
            <w:r w:rsidR="00E95FC3" w:rsidRPr="00421C6A">
              <w:rPr>
                <w:rFonts w:cs="Arial"/>
                <w:bCs/>
              </w:rPr>
              <w:t xml:space="preserve">DUR nebo </w:t>
            </w:r>
            <w:r w:rsidRPr="00421C6A">
              <w:rPr>
                <w:rFonts w:cs="Arial"/>
                <w:bCs/>
              </w:rPr>
              <w:t xml:space="preserve">DSP nebo DSP+PDPS nebo </w:t>
            </w:r>
            <w:r w:rsidRPr="00421C6A">
              <w:rPr>
                <w:rFonts w:cs="Calibri"/>
              </w:rPr>
              <w:t>DUSP</w:t>
            </w:r>
            <w:r w:rsidR="00070F9A" w:rsidRPr="00421C6A">
              <w:t xml:space="preserve"> nebo DUSP+PDPS</w:t>
            </w:r>
            <w:r w:rsidRPr="00421C6A">
              <w:rPr>
                <w:rFonts w:cs="Arial"/>
                <w:bCs/>
              </w:rPr>
              <w:t xml:space="preserve">, </w:t>
            </w:r>
            <w:r w:rsidRPr="00421C6A">
              <w:rPr>
                <w:rFonts w:cs="Calibri"/>
              </w:rPr>
              <w:t xml:space="preserve">které obsahovaly alespoň následující činnosti: </w:t>
            </w:r>
            <w:r w:rsidR="008A121B" w:rsidRPr="00421C6A">
              <w:t xml:space="preserve">projektování na systému ETCS nebo projektování </w:t>
            </w:r>
            <w:r w:rsidR="00D807B9" w:rsidRPr="00421C6A">
              <w:t xml:space="preserve">na </w:t>
            </w:r>
            <w:r w:rsidR="008A121B" w:rsidRPr="00421C6A">
              <w:t>systému GSM-R</w:t>
            </w:r>
            <w:r w:rsidRPr="00421C6A">
              <w:rPr>
                <w:rFonts w:cs="Calibri"/>
                <w:lang w:val="en-US"/>
              </w:rPr>
              <w:t xml:space="preserve">, </w:t>
            </w:r>
            <w:r w:rsidRPr="00421C6A">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D807B9">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304CE1"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D807B9" w:rsidRDefault="00B77110" w:rsidP="00EE0656">
            <w:pPr>
              <w:jc w:val="both"/>
              <w:rPr>
                <w:rFonts w:cs="Arial"/>
                <w:bCs/>
              </w:rPr>
            </w:pPr>
            <w:r w:rsidRPr="00D807B9">
              <w:rPr>
                <w:rFonts w:cs="Arial"/>
                <w:bCs/>
              </w:rPr>
              <w:t xml:space="preserve">zkušenost s plněním zakázky na </w:t>
            </w:r>
            <w:r w:rsidRPr="00D807B9">
              <w:rPr>
                <w:rFonts w:cs="Calibri"/>
              </w:rPr>
              <w:t xml:space="preserve">projektové </w:t>
            </w:r>
            <w:r w:rsidRPr="00D807B9">
              <w:rPr>
                <w:rFonts w:cs="Arial"/>
                <w:bCs/>
              </w:rPr>
              <w:t>práce</w:t>
            </w:r>
            <w:r w:rsidR="00F6610C" w:rsidRPr="00D807B9">
              <w:rPr>
                <w:rFonts w:cs="Arial"/>
                <w:bCs/>
              </w:rPr>
              <w:t xml:space="preserve"> spočívající ve zpracování dokumentace</w:t>
            </w:r>
            <w:r w:rsidRPr="00D807B9">
              <w:rPr>
                <w:rFonts w:cs="Arial"/>
                <w:bCs/>
              </w:rPr>
              <w:t xml:space="preserve"> pro stavby železničních drah ve stupni </w:t>
            </w:r>
            <w:r w:rsidR="00EE0656" w:rsidRPr="00D807B9">
              <w:rPr>
                <w:rFonts w:cs="Arial"/>
                <w:bCs/>
              </w:rPr>
              <w:t xml:space="preserve">záměru projektu, </w:t>
            </w:r>
            <w:r w:rsidR="00E95FC3" w:rsidRPr="00D807B9">
              <w:rPr>
                <w:rFonts w:cs="Arial"/>
                <w:bCs/>
              </w:rPr>
              <w:t xml:space="preserve">DUR nebo </w:t>
            </w:r>
            <w:r w:rsidRPr="00D807B9">
              <w:rPr>
                <w:rFonts w:cs="Arial"/>
                <w:bCs/>
              </w:rPr>
              <w:t xml:space="preserve">DSP nebo DSP+PDPS nebo </w:t>
            </w:r>
            <w:r w:rsidRPr="00D807B9">
              <w:rPr>
                <w:rFonts w:cs="Calibri"/>
              </w:rPr>
              <w:t>DUSP</w:t>
            </w:r>
            <w:r w:rsidRPr="00D807B9">
              <w:rPr>
                <w:rFonts w:cs="Arial"/>
                <w:bCs/>
              </w:rPr>
              <w:t xml:space="preserve"> </w:t>
            </w:r>
            <w:r w:rsidR="00070F9A" w:rsidRPr="00D807B9">
              <w:t>nebo DUSP+PDPS</w:t>
            </w:r>
            <w:r w:rsidR="00070F9A" w:rsidRPr="00D807B9">
              <w:rPr>
                <w:rFonts w:cs="Arial"/>
                <w:bCs/>
              </w:rPr>
              <w:t xml:space="preserve"> </w:t>
            </w:r>
            <w:r w:rsidRPr="00D807B9">
              <w:rPr>
                <w:rFonts w:cs="Arial"/>
                <w:bCs/>
              </w:rPr>
              <w:t xml:space="preserve">ve funkci vedoucího týmu s hodnotou zakázky na </w:t>
            </w:r>
            <w:r w:rsidRPr="00D807B9">
              <w:rPr>
                <w:rFonts w:cs="Calibri"/>
              </w:rPr>
              <w:t xml:space="preserve">projektové </w:t>
            </w:r>
            <w:r w:rsidRPr="00D807B9">
              <w:rPr>
                <w:rFonts w:cs="Arial"/>
                <w:bCs/>
              </w:rPr>
              <w:t>práce nejméně</w:t>
            </w:r>
            <w:r w:rsidR="00EE0656" w:rsidRPr="00D807B9">
              <w:rPr>
                <w:rFonts w:cs="Arial"/>
                <w:bCs/>
              </w:rPr>
              <w:t xml:space="preserve"> 8 mil. K</w:t>
            </w:r>
            <w:r w:rsidRPr="00D807B9">
              <w:rPr>
                <w:rFonts w:cs="Arial"/>
                <w:bCs/>
              </w:rPr>
              <w:t xml:space="preserve">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304CE1" w:rsidRDefault="00B77110" w:rsidP="00631EAA">
            <w:pPr>
              <w:rPr>
                <w:rFonts w:cs="Arial"/>
                <w:bCs/>
              </w:rPr>
            </w:pPr>
            <w:r w:rsidRPr="00304CE1">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D807B9" w:rsidRDefault="00B77110" w:rsidP="00631EAA">
            <w:pPr>
              <w:jc w:val="both"/>
              <w:rPr>
                <w:rFonts w:cs="Arial"/>
                <w:bCs/>
              </w:rPr>
            </w:pPr>
            <w:r w:rsidRPr="00D807B9">
              <w:rPr>
                <w:rFonts w:cs="Arial"/>
                <w:bCs/>
              </w:rPr>
              <w:t xml:space="preserve">délka praxe ve svém oboru </w:t>
            </w:r>
            <w:r w:rsidR="00187E44" w:rsidRPr="00D807B9">
              <w:rPr>
                <w:rFonts w:cs="Arial"/>
                <w:bCs/>
              </w:rPr>
              <w:t xml:space="preserve">(zabezpečovací zařízení) </w:t>
            </w:r>
            <w:r w:rsidRPr="00D807B9">
              <w:rPr>
                <w:rFonts w:cs="Arial"/>
                <w:bCs/>
              </w:rPr>
              <w:t xml:space="preserve">v projektování obdobných zakázek, tj. </w:t>
            </w:r>
            <w:r w:rsidRPr="00D807B9">
              <w:rPr>
                <w:rFonts w:cs="Calibri"/>
              </w:rPr>
              <w:t xml:space="preserve">projektových </w:t>
            </w:r>
            <w:r w:rsidRPr="00D807B9">
              <w:rPr>
                <w:rFonts w:cs="Arial"/>
                <w:bCs/>
              </w:rPr>
              <w:t>prací pro stavby železničních drah ve stupni</w:t>
            </w:r>
            <w:r w:rsidR="00EE0656" w:rsidRPr="00D807B9">
              <w:rPr>
                <w:rFonts w:cs="Arial"/>
                <w:bCs/>
              </w:rPr>
              <w:t xml:space="preserve"> záměru projektu, </w:t>
            </w:r>
            <w:r w:rsidRPr="00D807B9">
              <w:rPr>
                <w:rFonts w:cs="Arial"/>
                <w:bCs/>
              </w:rPr>
              <w:t xml:space="preserve"> </w:t>
            </w:r>
            <w:r w:rsidR="00E95FC3" w:rsidRPr="00D807B9">
              <w:rPr>
                <w:rFonts w:cs="Arial"/>
                <w:bCs/>
              </w:rPr>
              <w:t xml:space="preserve">DUR nebo </w:t>
            </w:r>
            <w:r w:rsidRPr="00D807B9">
              <w:rPr>
                <w:rFonts w:cs="Arial"/>
                <w:bCs/>
              </w:rPr>
              <w:t xml:space="preserve">DSP nebo DSP+PDPS nebo </w:t>
            </w:r>
            <w:r w:rsidRPr="00D807B9">
              <w:rPr>
                <w:rFonts w:cs="Calibri"/>
              </w:rPr>
              <w:t>DUSP</w:t>
            </w:r>
            <w:r w:rsidR="00187E44" w:rsidRPr="00D807B9">
              <w:t xml:space="preserve"> nebo DUSP+PDPS</w:t>
            </w:r>
            <w:r w:rsidRPr="00D807B9">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D807B9" w:rsidRDefault="00B77110" w:rsidP="00EE0656">
            <w:pPr>
              <w:jc w:val="both"/>
              <w:rPr>
                <w:rFonts w:cs="Arial"/>
                <w:bCs/>
              </w:rPr>
            </w:pPr>
            <w:r w:rsidRPr="00D807B9">
              <w:rPr>
                <w:rFonts w:cs="Arial"/>
                <w:bCs/>
              </w:rPr>
              <w:t xml:space="preserve">zkušenost s výkonem funkce specialisty na zabezpečovací zařízení u zakázky na </w:t>
            </w:r>
            <w:r w:rsidRPr="00D807B9">
              <w:rPr>
                <w:rFonts w:cs="Calibri"/>
              </w:rPr>
              <w:t xml:space="preserve">projektové </w:t>
            </w:r>
            <w:r w:rsidRPr="00D807B9">
              <w:rPr>
                <w:rFonts w:cs="Arial"/>
                <w:bCs/>
              </w:rPr>
              <w:t xml:space="preserve">práce </w:t>
            </w:r>
            <w:r w:rsidR="00A0209B" w:rsidRPr="00D807B9">
              <w:rPr>
                <w:rFonts w:cs="Arial"/>
                <w:bCs/>
              </w:rPr>
              <w:t xml:space="preserve">spočívající ve zpracování dokumentace </w:t>
            </w:r>
            <w:r w:rsidRPr="00D807B9">
              <w:rPr>
                <w:rFonts w:cs="Arial"/>
                <w:bCs/>
              </w:rPr>
              <w:t>pro stavby železničních drah ve stupni</w:t>
            </w:r>
            <w:r w:rsidR="00EE0656" w:rsidRPr="00D807B9">
              <w:rPr>
                <w:rFonts w:cs="Arial"/>
                <w:bCs/>
              </w:rPr>
              <w:t xml:space="preserve"> záměru projektu, </w:t>
            </w:r>
            <w:r w:rsidRPr="00D807B9">
              <w:rPr>
                <w:rFonts w:cs="Arial"/>
                <w:bCs/>
              </w:rPr>
              <w:t xml:space="preserve"> </w:t>
            </w:r>
            <w:r w:rsidR="00E95FC3" w:rsidRPr="00D807B9">
              <w:rPr>
                <w:rFonts w:cs="Arial"/>
                <w:bCs/>
              </w:rPr>
              <w:t xml:space="preserve">DUR nebo </w:t>
            </w:r>
            <w:r w:rsidRPr="00D807B9">
              <w:rPr>
                <w:rFonts w:cs="Arial"/>
                <w:bCs/>
              </w:rPr>
              <w:t xml:space="preserve">DSP nebo DSP+PDPS nebo </w:t>
            </w:r>
            <w:r w:rsidRPr="00D807B9">
              <w:rPr>
                <w:rFonts w:cs="Calibri"/>
              </w:rPr>
              <w:t>DUSP</w:t>
            </w:r>
            <w:r w:rsidRPr="00D807B9">
              <w:rPr>
                <w:rFonts w:cs="Arial"/>
                <w:bCs/>
              </w:rPr>
              <w:t xml:space="preserve"> </w:t>
            </w:r>
            <w:r w:rsidR="00070F9A" w:rsidRPr="00D807B9">
              <w:t>nebo DUSP+PDPS</w:t>
            </w:r>
            <w:r w:rsidR="00070F9A" w:rsidRPr="00D807B9">
              <w:rPr>
                <w:rFonts w:cs="Arial"/>
                <w:bCs/>
              </w:rPr>
              <w:t xml:space="preserve"> </w:t>
            </w:r>
            <w:r w:rsidRPr="00D807B9">
              <w:rPr>
                <w:rFonts w:cs="Arial"/>
                <w:bCs/>
              </w:rPr>
              <w:t xml:space="preserve">s hodnotou zakázky na </w:t>
            </w:r>
            <w:r w:rsidRPr="00D807B9">
              <w:rPr>
                <w:rFonts w:cs="Calibri"/>
              </w:rPr>
              <w:t xml:space="preserve">projektové </w:t>
            </w:r>
            <w:r w:rsidRPr="00D807B9">
              <w:rPr>
                <w:rFonts w:cs="Arial"/>
                <w:bCs/>
              </w:rPr>
              <w:t>práce nejméně</w:t>
            </w:r>
            <w:r w:rsidR="00EE0656" w:rsidRPr="00D807B9">
              <w:rPr>
                <w:rFonts w:cs="Arial"/>
                <w:bCs/>
              </w:rPr>
              <w:t xml:space="preserve"> 8 mil. </w:t>
            </w:r>
            <w:r w:rsidRPr="00D807B9">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304CE1" w:rsidRDefault="00B77110" w:rsidP="00631EAA">
            <w:pPr>
              <w:rPr>
                <w:rFonts w:cs="Arial"/>
                <w:bCs/>
              </w:rPr>
            </w:pPr>
            <w:r w:rsidRPr="00304CE1">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807B9" w:rsidRDefault="00B77110" w:rsidP="00631EAA">
            <w:pPr>
              <w:jc w:val="both"/>
              <w:rPr>
                <w:rFonts w:cs="Arial"/>
                <w:bCs/>
              </w:rPr>
            </w:pPr>
            <w:r w:rsidRPr="00D807B9">
              <w:rPr>
                <w:rFonts w:cs="Arial"/>
                <w:bCs/>
              </w:rPr>
              <w:t xml:space="preserve">délka praxe ve svém oboru </w:t>
            </w:r>
            <w:r w:rsidR="00187E44" w:rsidRPr="00D807B9">
              <w:rPr>
                <w:rFonts w:cs="Arial"/>
                <w:bCs/>
              </w:rPr>
              <w:t xml:space="preserve">(sdělovací zařízení) </w:t>
            </w:r>
            <w:r w:rsidRPr="00D807B9">
              <w:rPr>
                <w:rFonts w:cs="Arial"/>
                <w:bCs/>
              </w:rPr>
              <w:t xml:space="preserve">v projektování obdobných zakázek, tj. </w:t>
            </w:r>
            <w:r w:rsidRPr="00D807B9">
              <w:rPr>
                <w:rFonts w:cs="Calibri"/>
              </w:rPr>
              <w:t xml:space="preserve">projektových </w:t>
            </w:r>
            <w:r w:rsidRPr="00D807B9">
              <w:rPr>
                <w:rFonts w:cs="Arial"/>
                <w:bCs/>
              </w:rPr>
              <w:t>prací pro stavby železničních drah ve stupni</w:t>
            </w:r>
            <w:r w:rsidR="00EE0656" w:rsidRPr="00D807B9">
              <w:rPr>
                <w:rFonts w:cs="Arial"/>
                <w:bCs/>
              </w:rPr>
              <w:t xml:space="preserve"> záměru projektu,</w:t>
            </w:r>
            <w:r w:rsidRPr="00D807B9">
              <w:rPr>
                <w:rFonts w:cs="Arial"/>
                <w:bCs/>
              </w:rPr>
              <w:t xml:space="preserve"> </w:t>
            </w:r>
            <w:r w:rsidR="00E95FC3" w:rsidRPr="00D807B9">
              <w:rPr>
                <w:rFonts w:cs="Arial"/>
                <w:bCs/>
              </w:rPr>
              <w:t xml:space="preserve">DUR nebo </w:t>
            </w:r>
            <w:r w:rsidRPr="00D807B9">
              <w:rPr>
                <w:rFonts w:cs="Arial"/>
                <w:bCs/>
              </w:rPr>
              <w:t xml:space="preserve">DSP nebo DSP+PDPS nebo </w:t>
            </w:r>
            <w:r w:rsidRPr="00D807B9">
              <w:rPr>
                <w:rFonts w:cs="Calibri"/>
              </w:rPr>
              <w:t>DUSP</w:t>
            </w:r>
            <w:r w:rsidR="00070F9A" w:rsidRPr="00D807B9">
              <w:t xml:space="preserve"> nebo DUSP+PDPS</w:t>
            </w:r>
            <w:r w:rsidRPr="00D807B9">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22"/>
        </w:trPr>
        <w:tc>
          <w:tcPr>
            <w:tcW w:w="1843" w:type="dxa"/>
            <w:vMerge/>
            <w:tcBorders>
              <w:left w:val="single" w:sz="4" w:space="0" w:color="auto"/>
              <w:bottom w:val="single" w:sz="4" w:space="0" w:color="auto"/>
              <w:right w:val="single" w:sz="4" w:space="0" w:color="auto"/>
            </w:tcBorders>
            <w:vAlign w:val="center"/>
          </w:tcPr>
          <w:p w:rsidR="00B77110" w:rsidRPr="00304CE1"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807B9" w:rsidRDefault="00B77110" w:rsidP="00EE0656">
            <w:pPr>
              <w:jc w:val="both"/>
              <w:rPr>
                <w:rFonts w:cs="Arial"/>
                <w:bCs/>
              </w:rPr>
            </w:pPr>
            <w:r w:rsidRPr="00D807B9">
              <w:rPr>
                <w:rFonts w:cs="Arial"/>
                <w:bCs/>
              </w:rPr>
              <w:t xml:space="preserve">zkušenost s výkonem funkce specialisty na sdělovací zařízení u zakázky na </w:t>
            </w:r>
            <w:r w:rsidRPr="00D807B9">
              <w:rPr>
                <w:rFonts w:cs="Calibri"/>
              </w:rPr>
              <w:t xml:space="preserve">projektové </w:t>
            </w:r>
            <w:r w:rsidRPr="00D807B9">
              <w:rPr>
                <w:rFonts w:cs="Arial"/>
                <w:bCs/>
              </w:rPr>
              <w:t xml:space="preserve">práce </w:t>
            </w:r>
            <w:r w:rsidR="00A0209B" w:rsidRPr="00D807B9">
              <w:rPr>
                <w:rFonts w:cs="Arial"/>
                <w:bCs/>
              </w:rPr>
              <w:t xml:space="preserve">spočívající ve zpracování dokumentace </w:t>
            </w:r>
            <w:r w:rsidRPr="00D807B9">
              <w:rPr>
                <w:rFonts w:cs="Arial"/>
                <w:bCs/>
              </w:rPr>
              <w:t xml:space="preserve">pro stavby železničních drah ve stupni </w:t>
            </w:r>
            <w:r w:rsidR="00EE0656" w:rsidRPr="00D807B9">
              <w:rPr>
                <w:rFonts w:cs="Arial"/>
                <w:bCs/>
              </w:rPr>
              <w:t>záměru projektu ,</w:t>
            </w:r>
            <w:r w:rsidR="00E95FC3" w:rsidRPr="00D807B9">
              <w:rPr>
                <w:rFonts w:cs="Arial"/>
                <w:bCs/>
              </w:rPr>
              <w:t xml:space="preserve">DUR nebo </w:t>
            </w:r>
            <w:r w:rsidRPr="00D807B9">
              <w:rPr>
                <w:rFonts w:cs="Arial"/>
                <w:bCs/>
              </w:rPr>
              <w:t xml:space="preserve">DSP nebo DSP+PDPS nebo </w:t>
            </w:r>
            <w:r w:rsidRPr="00D807B9">
              <w:rPr>
                <w:rFonts w:cs="Calibri"/>
              </w:rPr>
              <w:t>DUSP</w:t>
            </w:r>
            <w:r w:rsidRPr="00D807B9">
              <w:rPr>
                <w:rFonts w:cs="Arial"/>
                <w:bCs/>
              </w:rPr>
              <w:t xml:space="preserve"> </w:t>
            </w:r>
            <w:r w:rsidR="00070F9A" w:rsidRPr="00D807B9">
              <w:t>nebo DUSP+PDPS</w:t>
            </w:r>
            <w:r w:rsidR="00070F9A" w:rsidRPr="00D807B9">
              <w:rPr>
                <w:rFonts w:cs="Arial"/>
                <w:bCs/>
              </w:rPr>
              <w:t xml:space="preserve"> </w:t>
            </w:r>
            <w:r w:rsidRPr="00D807B9">
              <w:rPr>
                <w:rFonts w:cs="Arial"/>
                <w:bCs/>
              </w:rPr>
              <w:t xml:space="preserve">s hodnotou zakázky na </w:t>
            </w:r>
            <w:r w:rsidRPr="00D807B9">
              <w:rPr>
                <w:rFonts w:cs="Calibri"/>
              </w:rPr>
              <w:t xml:space="preserve">projektové </w:t>
            </w:r>
            <w:r w:rsidRPr="00D807B9">
              <w:rPr>
                <w:rFonts w:cs="Arial"/>
                <w:bCs/>
              </w:rPr>
              <w:t xml:space="preserve">práce nejméně </w:t>
            </w:r>
            <w:r w:rsidR="00EE0656" w:rsidRPr="00D807B9">
              <w:rPr>
                <w:rFonts w:cs="Arial"/>
                <w:bCs/>
              </w:rPr>
              <w:t xml:space="preserve">8 mil. </w:t>
            </w:r>
            <w:r w:rsidRPr="00D807B9">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390E38" w:rsidRPr="00465F4C" w:rsidTr="00D807B9">
        <w:trPr>
          <w:trHeight w:val="1210"/>
        </w:trPr>
        <w:tc>
          <w:tcPr>
            <w:tcW w:w="1843" w:type="dxa"/>
            <w:vMerge w:val="restart"/>
            <w:tcBorders>
              <w:top w:val="single" w:sz="4" w:space="0" w:color="auto"/>
              <w:left w:val="single" w:sz="4" w:space="0" w:color="auto"/>
              <w:right w:val="single" w:sz="4" w:space="0" w:color="auto"/>
            </w:tcBorders>
          </w:tcPr>
          <w:p w:rsidR="00390E38" w:rsidRPr="00304CE1" w:rsidRDefault="00390E38" w:rsidP="00631EAA">
            <w:pPr>
              <w:rPr>
                <w:rFonts w:cs="Arial"/>
                <w:bCs/>
              </w:rPr>
            </w:pPr>
            <w:r w:rsidRPr="00304CE1">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90E38" w:rsidRPr="00B77110" w:rsidRDefault="00390E38" w:rsidP="00631EAA">
            <w:pPr>
              <w:jc w:val="both"/>
              <w:rPr>
                <w:rFonts w:cs="Arial"/>
                <w:bCs/>
              </w:rPr>
            </w:pPr>
            <w:r w:rsidRPr="00B77110">
              <w:rPr>
                <w:rFonts w:cs="Arial"/>
                <w:bCs/>
              </w:rPr>
              <w:t xml:space="preserve">délka praxe v provádění služeb spočívajících mimo jiné ve výkonu inženýrské činnosti pro vydání </w:t>
            </w:r>
            <w:r w:rsidRPr="00664669">
              <w:rPr>
                <w:rFonts w:cs="Arial"/>
                <w:bCs/>
              </w:rPr>
              <w:t>územního rozhodnutí, územního souhlasu nebo společného povolení</w:t>
            </w:r>
            <w:r>
              <w:rPr>
                <w:rFonts w:cs="Arial"/>
                <w:bCs/>
              </w:rPr>
              <w:t>,</w:t>
            </w:r>
            <w:r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390E38" w:rsidRPr="00B77110" w:rsidRDefault="00390E38" w:rsidP="007F4826">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7F4826" w:rsidRDefault="00390E38" w:rsidP="007F4826">
            <w:pPr>
              <w:rPr>
                <w:rFonts w:cs="Arial"/>
                <w:bCs/>
              </w:rPr>
            </w:pPr>
            <w:r w:rsidRPr="00B77110">
              <w:rPr>
                <w:rFonts w:cs="Arial"/>
                <w:bCs/>
              </w:rPr>
              <w:t xml:space="preserve">5 </w:t>
            </w:r>
          </w:p>
          <w:p w:rsidR="007F4826" w:rsidRDefault="007F4826" w:rsidP="007F4826">
            <w:pPr>
              <w:rPr>
                <w:rFonts w:cs="Arial"/>
                <w:bCs/>
              </w:rPr>
            </w:pPr>
          </w:p>
          <w:p w:rsidR="00390E38" w:rsidRPr="00B77110" w:rsidRDefault="00390E38" w:rsidP="007F4826">
            <w:pPr>
              <w:rPr>
                <w:rFonts w:cs="Arial"/>
                <w:bCs/>
              </w:rPr>
            </w:pPr>
          </w:p>
        </w:tc>
      </w:tr>
      <w:tr w:rsidR="00390E38" w:rsidRPr="00465F4C" w:rsidTr="00D807B9">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390E38" w:rsidRPr="00B77110" w:rsidRDefault="00390E38"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90E38" w:rsidRPr="00B77110" w:rsidRDefault="00390E38" w:rsidP="00D807B9">
            <w:pPr>
              <w:ind w:left="-9"/>
              <w:jc w:val="both"/>
              <w:rPr>
                <w:rFonts w:cs="Arial"/>
                <w:bCs/>
              </w:rPr>
            </w:pPr>
            <w:r w:rsidRPr="00B77110">
              <w:rPr>
                <w:rFonts w:cs="Arial"/>
                <w:bCs/>
              </w:rPr>
              <w:t xml:space="preserve">zkušenost s výkonem funkce specialisty na inženýrskou činnost u zakázky na </w:t>
            </w:r>
            <w:r w:rsidRPr="00D807B9">
              <w:rPr>
                <w:rFonts w:cs="Calibri"/>
              </w:rPr>
              <w:t xml:space="preserve">projektové </w:t>
            </w:r>
            <w:r w:rsidRPr="00D807B9">
              <w:rPr>
                <w:rFonts w:cs="Arial"/>
                <w:bCs/>
              </w:rPr>
              <w:t xml:space="preserve">práce spočívající ve zpracování dokumentace pro stavby železničních drah ve stupni </w:t>
            </w:r>
            <w:r w:rsidR="00304CE1" w:rsidRPr="00D807B9">
              <w:rPr>
                <w:rFonts w:cs="Arial"/>
                <w:bCs/>
              </w:rPr>
              <w:t xml:space="preserve">záměru projektu, </w:t>
            </w:r>
            <w:r w:rsidRPr="00D807B9">
              <w:rPr>
                <w:rFonts w:cs="Arial"/>
                <w:bCs/>
              </w:rPr>
              <w:t>DUR nebo DSP nebo DSP+PDPS nebo</w:t>
            </w:r>
            <w:r w:rsidRPr="00B77110">
              <w:rPr>
                <w:rFonts w:cs="Arial"/>
                <w:bCs/>
              </w:rPr>
              <w:t xml:space="preserve">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EE0656">
              <w:rPr>
                <w:rFonts w:cs="Arial"/>
                <w:bCs/>
              </w:rPr>
              <w:t xml:space="preserve"> 8 mil. </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390E38" w:rsidRPr="00B77110" w:rsidRDefault="00390E38" w:rsidP="00D807B9">
            <w:pPr>
              <w:ind w:left="-9"/>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390E38" w:rsidRPr="00B77110" w:rsidRDefault="00390E38" w:rsidP="00D807B9">
            <w:pPr>
              <w:ind w:left="-9"/>
              <w:rPr>
                <w:rFonts w:cs="Arial"/>
                <w:bCs/>
                <w:highlight w:val="green"/>
              </w:rPr>
            </w:pPr>
            <w:r w:rsidRPr="00B77110">
              <w:rPr>
                <w:rFonts w:cs="Arial"/>
                <w:bCs/>
              </w:rPr>
              <w:t xml:space="preserve">5 </w:t>
            </w:r>
          </w:p>
          <w:p w:rsidR="00390E38" w:rsidRPr="00B77110" w:rsidRDefault="00390E38" w:rsidP="00D807B9">
            <w:pPr>
              <w:ind w:left="-9"/>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4354CE">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w:t>
      </w:r>
      <w:r w:rsidR="00E95FC3">
        <w:rPr>
          <w:rFonts w:cs="Arial"/>
          <w:bCs/>
        </w:rPr>
        <w:lastRenderedPageBreak/>
        <w:t xml:space="preserve">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w:t>
      </w:r>
      <w:r>
        <w:lastRenderedPageBreak/>
        <w:t>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rsidR="0035531B" w:rsidRDefault="0035531B" w:rsidP="007038DC">
      <w:pPr>
        <w:pStyle w:val="Nadpis1-1"/>
      </w:pPr>
      <w:bookmarkStart w:id="20" w:name="_Toc47947747"/>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47947748"/>
      <w:r>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w:t>
      </w:r>
      <w:r>
        <w:lastRenderedPageBreak/>
        <w:t>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572F04">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47947749"/>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47947750"/>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047A5" w:rsidRPr="006047A5">
        <w:rPr>
          <w:b/>
        </w:rPr>
        <w:t>2</w:t>
      </w:r>
      <w:r w:rsidR="006047A5">
        <w:rPr>
          <w:b/>
        </w:rPr>
        <w:t>0</w:t>
      </w:r>
      <w:r w:rsidR="006047A5" w:rsidRPr="006047A5">
        <w:rPr>
          <w:b/>
        </w:rPr>
        <w:t>0 000,00</w:t>
      </w:r>
      <w:r w:rsidR="006047A5">
        <w:t xml:space="preserve"> </w:t>
      </w:r>
      <w:r w:rsidRPr="00B035B6">
        <w:rPr>
          <w:b/>
        </w:rPr>
        <w:t xml:space="preserve">Kč </w:t>
      </w:r>
      <w:r>
        <w:t xml:space="preserve">(slovy: </w:t>
      </w:r>
      <w:r w:rsidR="006047A5">
        <w:t>dvěstě</w:t>
      </w:r>
      <w:r w:rsidR="00A03282">
        <w:t>tisíc</w:t>
      </w:r>
      <w:bookmarkStart w:id="24" w:name="_GoBack"/>
      <w:bookmarkEnd w:id="24"/>
      <w:r w:rsidR="006047A5">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7F4826" w:rsidRPr="00641BE1">
        <w:rPr>
          <w:rFonts w:ascii="Verdana" w:hAnsi="Verdana"/>
        </w:rPr>
        <w:t>30007-22307011/0710, Česká národní banka, Na příkopě 864/28, variabilní symbol</w:t>
      </w:r>
      <w:r w:rsidR="007F4826">
        <w:rPr>
          <w:rFonts w:ascii="Verdana" w:hAnsi="Verdana"/>
        </w:rPr>
        <w:t xml:space="preserve"> 50037220031.</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47947751"/>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D807B9" w:rsidRDefault="00D807B9"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D807B9" w:rsidRDefault="00D807B9" w:rsidP="00564DDD">
      <w:pPr>
        <w:pStyle w:val="Textbezslovn"/>
        <w:spacing w:after="0"/>
      </w:pPr>
    </w:p>
    <w:p w:rsidR="00D807B9" w:rsidRDefault="00D807B9" w:rsidP="00564DDD">
      <w:pPr>
        <w:pStyle w:val="Textbezslovn"/>
        <w:spacing w:after="0"/>
      </w:pPr>
    </w:p>
    <w:p w:rsidR="0035531B" w:rsidRDefault="0035531B" w:rsidP="00564DDD">
      <w:pPr>
        <w:pStyle w:val="Textbezslovn"/>
        <w:spacing w:after="0"/>
      </w:pPr>
      <w:r>
        <w:t>…………………………………………….</w:t>
      </w:r>
    </w:p>
    <w:p w:rsidR="00D807B9" w:rsidRDefault="00D807B9" w:rsidP="00D807B9">
      <w:pPr>
        <w:spacing w:after="0"/>
      </w:pPr>
      <w:r>
        <w:tab/>
        <w:t>Ing. Petra Hofhanzl</w:t>
      </w:r>
    </w:p>
    <w:p w:rsidR="00D807B9" w:rsidRDefault="00D807B9" w:rsidP="00D807B9">
      <w:pPr>
        <w:spacing w:after="0"/>
        <w:ind w:firstLine="709"/>
      </w:pPr>
      <w:r>
        <w:t>Správa železnic, státní organizace</w:t>
      </w:r>
    </w:p>
    <w:p w:rsidR="00D807B9" w:rsidRDefault="00D807B9" w:rsidP="00D807B9">
      <w:pPr>
        <w:spacing w:after="0"/>
        <w:ind w:firstLine="709"/>
      </w:pPr>
      <w:r>
        <w:t>ředitel Stavební správy západ</w:t>
      </w:r>
    </w:p>
    <w:p w:rsidR="00564DDD" w:rsidRDefault="00564DDD" w:rsidP="00D807B9">
      <w:pPr>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8A121B" w:rsidRPr="008A121B">
        <w:rPr>
          <w:b/>
        </w:rPr>
        <w:t>„GSM-R + ETCS Hranice na Moravě – Horní Lideč – Střelná“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EF6C64" w:rsidRDefault="00EF6C64" w:rsidP="006A540D">
      <w:pPr>
        <w:pStyle w:val="Textbezslovn"/>
        <w:ind w:left="0"/>
      </w:pP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8A121B"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8A121B"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8A121B">
              <w:rPr>
                <w:b/>
              </w:rPr>
              <w:t xml:space="preserve">Cena významné služby, kterou dodavatel poskytl** za posledních </w:t>
            </w:r>
            <w:r w:rsidR="00CE7DE6" w:rsidRPr="008A121B">
              <w:rPr>
                <w:b/>
              </w:rPr>
              <w:t>5</w:t>
            </w:r>
            <w:r w:rsidRPr="008A121B">
              <w:rPr>
                <w:b/>
              </w:rPr>
              <w:t xml:space="preserve"> let v Kč*** bez DPH</w:t>
            </w:r>
          </w:p>
          <w:p w:rsidR="00E265A4" w:rsidRPr="008A121B"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8A121B">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8A121B">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627A39">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833899" w:rsidRDefault="00452F69" w:rsidP="00307641">
            <w:pPr>
              <w:rPr>
                <w:sz w:val="16"/>
                <w:szCs w:val="16"/>
              </w:rPr>
            </w:pPr>
          </w:p>
        </w:tc>
        <w:tc>
          <w:tcPr>
            <w:tcW w:w="2835" w:type="dxa"/>
            <w:tcBorders>
              <w:top w:val="single" w:sz="2" w:space="0" w:color="auto"/>
              <w:bottom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627A39">
              <w:rPr>
                <w:sz w:val="16"/>
                <w:szCs w:val="16"/>
              </w:rPr>
              <w:t xml:space="preserve"> spočívajících ve zpracování dokumentace</w:t>
            </w:r>
            <w:r w:rsidRPr="0042061D">
              <w:rPr>
                <w:sz w:val="16"/>
                <w:szCs w:val="16"/>
              </w:rPr>
              <w:t>) v případě zakázky na více činností</w:t>
            </w:r>
            <w:r w:rsidR="00403C99">
              <w:rPr>
                <w:sz w:val="16"/>
                <w:szCs w:val="16"/>
              </w:rPr>
              <w:t xml:space="preserve"> (tzn.</w:t>
            </w:r>
            <w:r w:rsidR="00E265A4">
              <w:rPr>
                <w:sz w:val="16"/>
                <w:szCs w:val="16"/>
              </w:rPr>
              <w:t xml:space="preserve"> </w:t>
            </w:r>
            <w:r w:rsidR="00403C99">
              <w:rPr>
                <w:sz w:val="16"/>
                <w:szCs w:val="16"/>
              </w:rPr>
              <w:t>odečtěte cenu autorského dozoru)</w:t>
            </w:r>
          </w:p>
          <w:p w:rsidR="00403C99" w:rsidRPr="00543F07" w:rsidRDefault="00403C99" w:rsidP="00F03DA2">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8A121B">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627A39">
              <w:rPr>
                <w:sz w:val="16"/>
                <w:szCs w:val="16"/>
              </w:rPr>
              <w:t xml:space="preserve"> spočívajících ve zp</w:t>
            </w:r>
            <w:r w:rsidR="008A121B">
              <w:rPr>
                <w:sz w:val="16"/>
                <w:szCs w:val="16"/>
              </w:rPr>
              <w:t>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627A39"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rsidR="0042061D" w:rsidRPr="00627A3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627A39">
              <w:rPr>
                <w:sz w:val="16"/>
                <w:szCs w:val="16"/>
              </w:rPr>
              <w:t xml:space="preserve"> </w:t>
            </w:r>
            <w:r>
              <w:rPr>
                <w:sz w:val="16"/>
                <w:szCs w:val="16"/>
              </w:rPr>
              <w:t xml:space="preserve"> a p</w:t>
            </w:r>
            <w:r w:rsidR="0042061D" w:rsidRPr="00627A39">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rsidR="0042061D" w:rsidRPr="00627A3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627A39">
              <w:rPr>
                <w:sz w:val="16"/>
                <w:szCs w:val="16"/>
                <w:highlight w:val="yellow"/>
              </w:rPr>
              <w:t>[DOPLNÍ DODAVATEL]</w:t>
            </w:r>
          </w:p>
        </w:tc>
      </w:tr>
      <w:tr w:rsidR="00627A39" w:rsidRPr="00627A3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627A39" w:rsidRPr="00627A39" w:rsidRDefault="00627A39" w:rsidP="00C26B03">
            <w:pPr>
              <w:rPr>
                <w:b w:val="0"/>
                <w:sz w:val="16"/>
                <w:szCs w:val="16"/>
              </w:rPr>
            </w:pPr>
          </w:p>
        </w:tc>
        <w:tc>
          <w:tcPr>
            <w:tcW w:w="2835" w:type="dxa"/>
            <w:tcBorders>
              <w:top w:val="single" w:sz="2" w:space="0" w:color="auto"/>
            </w:tcBorders>
            <w:shd w:val="clear" w:color="auto" w:fill="auto"/>
          </w:tcPr>
          <w:p w:rsidR="00627A39" w:rsidRPr="00627A39"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7E2" w:rsidRDefault="009307E2" w:rsidP="00962258">
      <w:pPr>
        <w:spacing w:after="0" w:line="240" w:lineRule="auto"/>
      </w:pPr>
      <w:r>
        <w:separator/>
      </w:r>
    </w:p>
  </w:endnote>
  <w:endnote w:type="continuationSeparator" w:id="0">
    <w:p w:rsidR="009307E2" w:rsidRDefault="009307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0656" w:rsidTr="00EB46E5">
      <w:tc>
        <w:tcPr>
          <w:tcW w:w="1361" w:type="dxa"/>
          <w:tcMar>
            <w:left w:w="0" w:type="dxa"/>
            <w:right w:w="0" w:type="dxa"/>
          </w:tcMar>
          <w:vAlign w:val="bottom"/>
        </w:tcPr>
        <w:p w:rsidR="00EE0656" w:rsidRPr="00B425A2" w:rsidRDefault="00EE0656" w:rsidP="00826B7B">
          <w:pPr>
            <w:pStyle w:val="Zpat"/>
            <w:jc w:val="right"/>
            <w:rPr>
              <w:rStyle w:val="slostrnky"/>
            </w:rPr>
          </w:pPr>
          <w:r w:rsidRPr="00B425A2">
            <w:rPr>
              <w:rStyle w:val="slostrnky"/>
            </w:rPr>
            <w:fldChar w:fldCharType="begin"/>
          </w:r>
          <w:r w:rsidRPr="00B425A2">
            <w:rPr>
              <w:rStyle w:val="slostrnky"/>
            </w:rPr>
            <w:instrText>PAGE   \* MERGEFORMAT</w:instrText>
          </w:r>
          <w:r w:rsidRPr="00B425A2">
            <w:rPr>
              <w:rStyle w:val="slostrnky"/>
            </w:rPr>
            <w:fldChar w:fldCharType="separate"/>
          </w:r>
          <w:r w:rsidR="00FF06A7">
            <w:rPr>
              <w:rStyle w:val="slostrnky"/>
              <w:noProof/>
            </w:rPr>
            <w:t>38</w:t>
          </w:r>
          <w:r w:rsidRPr="00B425A2">
            <w:rPr>
              <w:rStyle w:val="slostrnky"/>
            </w:rPr>
            <w:fldChar w:fldCharType="end"/>
          </w:r>
          <w:r w:rsidRPr="00B425A2">
            <w:rPr>
              <w:rStyle w:val="slostrnky"/>
            </w:rPr>
            <w:t>/</w:t>
          </w:r>
          <w:r w:rsidRPr="00B425A2">
            <w:rPr>
              <w:rStyle w:val="slostrnky"/>
            </w:rPr>
            <w:fldChar w:fldCharType="begin"/>
          </w:r>
          <w:r w:rsidRPr="00B425A2">
            <w:rPr>
              <w:rStyle w:val="slostrnky"/>
            </w:rPr>
            <w:instrText xml:space="preserve"> NUMPAGES   \* MERGEFORMAT </w:instrText>
          </w:r>
          <w:r w:rsidRPr="00B425A2">
            <w:rPr>
              <w:rStyle w:val="slostrnky"/>
            </w:rPr>
            <w:fldChar w:fldCharType="separate"/>
          </w:r>
          <w:r w:rsidR="00FF06A7">
            <w:rPr>
              <w:rStyle w:val="slostrnky"/>
              <w:noProof/>
            </w:rPr>
            <w:t>40</w:t>
          </w:r>
          <w:r w:rsidRPr="00B425A2">
            <w:rPr>
              <w:rStyle w:val="slostrnky"/>
            </w:rPr>
            <w:fldChar w:fldCharType="end"/>
          </w:r>
        </w:p>
      </w:tc>
      <w:tc>
        <w:tcPr>
          <w:tcW w:w="284" w:type="dxa"/>
          <w:shd w:val="clear" w:color="auto" w:fill="auto"/>
          <w:tcMar>
            <w:left w:w="0" w:type="dxa"/>
            <w:right w:w="0" w:type="dxa"/>
          </w:tcMar>
        </w:tcPr>
        <w:p w:rsidR="00EE0656" w:rsidRPr="00B425A2" w:rsidRDefault="00EE0656" w:rsidP="00B8518B">
          <w:pPr>
            <w:pStyle w:val="Zpat"/>
          </w:pPr>
        </w:p>
      </w:tc>
      <w:tc>
        <w:tcPr>
          <w:tcW w:w="425" w:type="dxa"/>
          <w:shd w:val="clear" w:color="auto" w:fill="auto"/>
          <w:tcMar>
            <w:left w:w="0" w:type="dxa"/>
            <w:right w:w="0" w:type="dxa"/>
          </w:tcMar>
        </w:tcPr>
        <w:p w:rsidR="00EE0656" w:rsidRPr="00B425A2" w:rsidRDefault="00EE0656" w:rsidP="00B8518B">
          <w:pPr>
            <w:pStyle w:val="Zpat"/>
          </w:pPr>
        </w:p>
      </w:tc>
      <w:tc>
        <w:tcPr>
          <w:tcW w:w="8505" w:type="dxa"/>
        </w:tcPr>
        <w:p w:rsidR="00EE0656" w:rsidRPr="00B425A2" w:rsidRDefault="00EE0656" w:rsidP="00EB46E5">
          <w:pPr>
            <w:pStyle w:val="Zpat0"/>
          </w:pPr>
          <w:r w:rsidRPr="00B425A2">
            <w:t>„GSM-R + ETCS Hranice na Moravě – Horní Lideč - Střelná“</w:t>
          </w:r>
        </w:p>
        <w:p w:rsidR="00EE0656" w:rsidRPr="00B425A2" w:rsidRDefault="00EE0656" w:rsidP="00EB46E5">
          <w:pPr>
            <w:pStyle w:val="Zpat0"/>
          </w:pPr>
          <w:r w:rsidRPr="00B425A2">
            <w:t xml:space="preserve">Díl 1 – </w:t>
          </w:r>
          <w:r w:rsidRPr="00B425A2">
            <w:rPr>
              <w:caps/>
            </w:rPr>
            <w:t>Požadavky a podmínky pro zpracování nabídky</w:t>
          </w:r>
        </w:p>
        <w:p w:rsidR="00EE0656" w:rsidRDefault="00EE0656" w:rsidP="00392730">
          <w:pPr>
            <w:pStyle w:val="Zpat0"/>
          </w:pPr>
          <w:r w:rsidRPr="00B425A2">
            <w:t xml:space="preserve">Část 2 – </w:t>
          </w:r>
          <w:r w:rsidRPr="00B425A2">
            <w:rPr>
              <w:caps/>
            </w:rPr>
            <w:t>Pokyny pro dodavatele</w:t>
          </w:r>
        </w:p>
        <w:p w:rsidR="00EE0656" w:rsidRDefault="00EE0656" w:rsidP="00392730">
          <w:pPr>
            <w:pStyle w:val="Zpat0"/>
          </w:pPr>
        </w:p>
      </w:tc>
    </w:tr>
  </w:tbl>
  <w:p w:rsidR="00EE0656" w:rsidRPr="00B8518B" w:rsidRDefault="00EE06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56" w:rsidRPr="00B8518B" w:rsidRDefault="00EE0656" w:rsidP="00460660">
    <w:pPr>
      <w:pStyle w:val="Zpat"/>
      <w:rPr>
        <w:sz w:val="2"/>
        <w:szCs w:val="2"/>
      </w:rPr>
    </w:pPr>
  </w:p>
  <w:p w:rsidR="00EE0656" w:rsidRPr="00460660" w:rsidRDefault="00EE065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7E2" w:rsidRDefault="009307E2" w:rsidP="00962258">
      <w:pPr>
        <w:spacing w:after="0" w:line="240" w:lineRule="auto"/>
      </w:pPr>
      <w:r>
        <w:separator/>
      </w:r>
    </w:p>
  </w:footnote>
  <w:footnote w:type="continuationSeparator" w:id="0">
    <w:p w:rsidR="009307E2" w:rsidRDefault="009307E2" w:rsidP="00962258">
      <w:pPr>
        <w:spacing w:after="0" w:line="240" w:lineRule="auto"/>
      </w:pPr>
      <w:r>
        <w:continuationSeparator/>
      </w:r>
    </w:p>
  </w:footnote>
  <w:footnote w:id="1">
    <w:p w:rsidR="00EE0656" w:rsidRDefault="00EE065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EE0656" w:rsidRDefault="00EE065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EE0656" w:rsidRDefault="00EE0656"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EE0656" w:rsidRDefault="00EE0656"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EE0656" w:rsidRDefault="00EE065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0656" w:rsidTr="00C02D0A">
      <w:trPr>
        <w:trHeight w:hRule="exact" w:val="454"/>
      </w:trPr>
      <w:tc>
        <w:tcPr>
          <w:tcW w:w="1361" w:type="dxa"/>
          <w:tcMar>
            <w:top w:w="57" w:type="dxa"/>
            <w:left w:w="0" w:type="dxa"/>
            <w:right w:w="0" w:type="dxa"/>
          </w:tcMar>
        </w:tcPr>
        <w:p w:rsidR="00EE0656" w:rsidRPr="00B8518B" w:rsidRDefault="00EE0656" w:rsidP="00523EA7">
          <w:pPr>
            <w:pStyle w:val="Zpat"/>
            <w:rPr>
              <w:rStyle w:val="slostrnky"/>
            </w:rPr>
          </w:pPr>
        </w:p>
      </w:tc>
      <w:tc>
        <w:tcPr>
          <w:tcW w:w="3458" w:type="dxa"/>
          <w:shd w:val="clear" w:color="auto" w:fill="auto"/>
          <w:tcMar>
            <w:top w:w="57" w:type="dxa"/>
            <w:left w:w="0" w:type="dxa"/>
            <w:right w:w="0" w:type="dxa"/>
          </w:tcMar>
        </w:tcPr>
        <w:p w:rsidR="00EE0656" w:rsidRDefault="00EE0656" w:rsidP="00523EA7">
          <w:pPr>
            <w:pStyle w:val="Zpat"/>
          </w:pPr>
        </w:p>
      </w:tc>
      <w:tc>
        <w:tcPr>
          <w:tcW w:w="5698" w:type="dxa"/>
          <w:shd w:val="clear" w:color="auto" w:fill="auto"/>
          <w:tcMar>
            <w:top w:w="57" w:type="dxa"/>
            <w:left w:w="0" w:type="dxa"/>
            <w:right w:w="0" w:type="dxa"/>
          </w:tcMar>
        </w:tcPr>
        <w:p w:rsidR="00EE0656" w:rsidRPr="00D6163D" w:rsidRDefault="00EE0656" w:rsidP="00D6163D">
          <w:pPr>
            <w:pStyle w:val="Druhdokumentu"/>
          </w:pPr>
        </w:p>
      </w:tc>
    </w:tr>
  </w:tbl>
  <w:p w:rsidR="00EE0656" w:rsidRPr="00D6163D" w:rsidRDefault="00EE06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0656" w:rsidTr="00B22106">
      <w:trPr>
        <w:trHeight w:hRule="exact" w:val="936"/>
      </w:trPr>
      <w:tc>
        <w:tcPr>
          <w:tcW w:w="1361" w:type="dxa"/>
          <w:tcMar>
            <w:left w:w="0" w:type="dxa"/>
            <w:right w:w="0" w:type="dxa"/>
          </w:tcMar>
        </w:tcPr>
        <w:p w:rsidR="00EE0656" w:rsidRPr="00B8518B" w:rsidRDefault="00EE0656" w:rsidP="00FC6389">
          <w:pPr>
            <w:pStyle w:val="Zpat"/>
            <w:rPr>
              <w:rStyle w:val="slostrnky"/>
            </w:rPr>
          </w:pPr>
        </w:p>
      </w:tc>
      <w:tc>
        <w:tcPr>
          <w:tcW w:w="3458" w:type="dxa"/>
          <w:shd w:val="clear" w:color="auto" w:fill="auto"/>
          <w:tcMar>
            <w:left w:w="0" w:type="dxa"/>
            <w:right w:w="0" w:type="dxa"/>
          </w:tcMar>
        </w:tcPr>
        <w:p w:rsidR="00EE0656" w:rsidRDefault="00EE0656" w:rsidP="00FC6389">
          <w:pPr>
            <w:pStyle w:val="Zpat"/>
          </w:pPr>
        </w:p>
      </w:tc>
      <w:tc>
        <w:tcPr>
          <w:tcW w:w="5756" w:type="dxa"/>
          <w:shd w:val="clear" w:color="auto" w:fill="auto"/>
          <w:tcMar>
            <w:left w:w="0" w:type="dxa"/>
            <w:right w:w="0" w:type="dxa"/>
          </w:tcMar>
        </w:tcPr>
        <w:p w:rsidR="00EE0656" w:rsidRPr="00D6163D" w:rsidRDefault="00EE0656" w:rsidP="00FC6389">
          <w:pPr>
            <w:pStyle w:val="Druhdokumentu"/>
          </w:pPr>
        </w:p>
      </w:tc>
    </w:tr>
    <w:tr w:rsidR="00EE0656" w:rsidTr="00B22106">
      <w:trPr>
        <w:trHeight w:hRule="exact" w:val="936"/>
      </w:trPr>
      <w:tc>
        <w:tcPr>
          <w:tcW w:w="1361" w:type="dxa"/>
          <w:tcMar>
            <w:left w:w="0" w:type="dxa"/>
            <w:right w:w="0" w:type="dxa"/>
          </w:tcMar>
        </w:tcPr>
        <w:p w:rsidR="00EE0656" w:rsidRPr="00B8518B" w:rsidRDefault="00EE0656" w:rsidP="00FC6389">
          <w:pPr>
            <w:pStyle w:val="Zpat"/>
            <w:rPr>
              <w:rStyle w:val="slostrnky"/>
            </w:rPr>
          </w:pPr>
        </w:p>
      </w:tc>
      <w:tc>
        <w:tcPr>
          <w:tcW w:w="3458" w:type="dxa"/>
          <w:shd w:val="clear" w:color="auto" w:fill="auto"/>
          <w:tcMar>
            <w:left w:w="0" w:type="dxa"/>
            <w:right w:w="0" w:type="dxa"/>
          </w:tcMar>
        </w:tcPr>
        <w:p w:rsidR="00EE0656" w:rsidRDefault="00EE0656" w:rsidP="00FC6389">
          <w:pPr>
            <w:pStyle w:val="Zpat"/>
          </w:pPr>
        </w:p>
      </w:tc>
      <w:tc>
        <w:tcPr>
          <w:tcW w:w="5756" w:type="dxa"/>
          <w:shd w:val="clear" w:color="auto" w:fill="auto"/>
          <w:tcMar>
            <w:left w:w="0" w:type="dxa"/>
            <w:right w:w="0" w:type="dxa"/>
          </w:tcMar>
        </w:tcPr>
        <w:p w:rsidR="00EE0656" w:rsidRPr="00D6163D" w:rsidRDefault="00EE0656" w:rsidP="00FC6389">
          <w:pPr>
            <w:pStyle w:val="Druhdokumentu"/>
          </w:pPr>
        </w:p>
      </w:tc>
    </w:tr>
  </w:tbl>
  <w:p w:rsidR="00EE0656" w:rsidRPr="00D6163D" w:rsidRDefault="00EE0656"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E0656" w:rsidRPr="00460660" w:rsidRDefault="00EE065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7.5pt;height:136.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DF093D"/>
    <w:multiLevelType w:val="hybridMultilevel"/>
    <w:tmpl w:val="24448714"/>
    <w:lvl w:ilvl="0" w:tplc="04050001">
      <w:start w:val="1"/>
      <w:numFmt w:val="bullet"/>
      <w:lvlText w:val=""/>
      <w:lvlJc w:val="left"/>
      <w:pPr>
        <w:ind w:left="2166" w:hanging="360"/>
      </w:pPr>
      <w:rPr>
        <w:rFonts w:ascii="Symbol" w:hAnsi="Symbol" w:hint="default"/>
      </w:rPr>
    </w:lvl>
    <w:lvl w:ilvl="1" w:tplc="04050003" w:tentative="1">
      <w:start w:val="1"/>
      <w:numFmt w:val="bullet"/>
      <w:lvlText w:val="o"/>
      <w:lvlJc w:val="left"/>
      <w:pPr>
        <w:ind w:left="2886" w:hanging="360"/>
      </w:pPr>
      <w:rPr>
        <w:rFonts w:ascii="Courier New" w:hAnsi="Courier New" w:cs="Courier New" w:hint="default"/>
      </w:rPr>
    </w:lvl>
    <w:lvl w:ilvl="2" w:tplc="04050005" w:tentative="1">
      <w:start w:val="1"/>
      <w:numFmt w:val="bullet"/>
      <w:lvlText w:val=""/>
      <w:lvlJc w:val="left"/>
      <w:pPr>
        <w:ind w:left="3606" w:hanging="360"/>
      </w:pPr>
      <w:rPr>
        <w:rFonts w:ascii="Wingdings" w:hAnsi="Wingdings" w:hint="default"/>
      </w:rPr>
    </w:lvl>
    <w:lvl w:ilvl="3" w:tplc="04050001" w:tentative="1">
      <w:start w:val="1"/>
      <w:numFmt w:val="bullet"/>
      <w:lvlText w:val=""/>
      <w:lvlJc w:val="left"/>
      <w:pPr>
        <w:ind w:left="4326" w:hanging="360"/>
      </w:pPr>
      <w:rPr>
        <w:rFonts w:ascii="Symbol" w:hAnsi="Symbol" w:hint="default"/>
      </w:rPr>
    </w:lvl>
    <w:lvl w:ilvl="4" w:tplc="04050003" w:tentative="1">
      <w:start w:val="1"/>
      <w:numFmt w:val="bullet"/>
      <w:lvlText w:val="o"/>
      <w:lvlJc w:val="left"/>
      <w:pPr>
        <w:ind w:left="5046" w:hanging="360"/>
      </w:pPr>
      <w:rPr>
        <w:rFonts w:ascii="Courier New" w:hAnsi="Courier New" w:cs="Courier New" w:hint="default"/>
      </w:rPr>
    </w:lvl>
    <w:lvl w:ilvl="5" w:tplc="04050005" w:tentative="1">
      <w:start w:val="1"/>
      <w:numFmt w:val="bullet"/>
      <w:lvlText w:val=""/>
      <w:lvlJc w:val="left"/>
      <w:pPr>
        <w:ind w:left="5766" w:hanging="360"/>
      </w:pPr>
      <w:rPr>
        <w:rFonts w:ascii="Wingdings" w:hAnsi="Wingdings" w:hint="default"/>
      </w:rPr>
    </w:lvl>
    <w:lvl w:ilvl="6" w:tplc="04050001" w:tentative="1">
      <w:start w:val="1"/>
      <w:numFmt w:val="bullet"/>
      <w:lvlText w:val=""/>
      <w:lvlJc w:val="left"/>
      <w:pPr>
        <w:ind w:left="6486" w:hanging="360"/>
      </w:pPr>
      <w:rPr>
        <w:rFonts w:ascii="Symbol" w:hAnsi="Symbol" w:hint="default"/>
      </w:rPr>
    </w:lvl>
    <w:lvl w:ilvl="7" w:tplc="04050003" w:tentative="1">
      <w:start w:val="1"/>
      <w:numFmt w:val="bullet"/>
      <w:lvlText w:val="o"/>
      <w:lvlJc w:val="left"/>
      <w:pPr>
        <w:ind w:left="7206" w:hanging="360"/>
      </w:pPr>
      <w:rPr>
        <w:rFonts w:ascii="Courier New" w:hAnsi="Courier New" w:cs="Courier New" w:hint="default"/>
      </w:rPr>
    </w:lvl>
    <w:lvl w:ilvl="8" w:tplc="04050005" w:tentative="1">
      <w:start w:val="1"/>
      <w:numFmt w:val="bullet"/>
      <w:lvlText w:val=""/>
      <w:lvlJc w:val="left"/>
      <w:pPr>
        <w:ind w:left="7926" w:hanging="360"/>
      </w:pPr>
      <w:rPr>
        <w:rFonts w:ascii="Wingdings" w:hAnsi="Wingdings" w:hint="default"/>
      </w:rPr>
    </w:lvl>
  </w:abstractNum>
  <w:abstractNum w:abstractNumId="5" w15:restartNumberingAfterBreak="0">
    <w:nsid w:val="2B4D6171"/>
    <w:multiLevelType w:val="hybridMultilevel"/>
    <w:tmpl w:val="90AC9B40"/>
    <w:lvl w:ilvl="0" w:tplc="876CA926">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3635BE"/>
    <w:multiLevelType w:val="multilevel"/>
    <w:tmpl w:val="A2FE64C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1446"/>
        </w:tabs>
        <w:ind w:left="1446" w:hanging="737"/>
      </w:pPr>
      <w:rPr>
        <w:rFonts w:hint="default"/>
      </w:rPr>
    </w:lvl>
    <w:lvl w:ilvl="3">
      <w:start w:val="1"/>
      <w:numFmt w:val="decimal"/>
      <w:lvlText w:val="%1.%2.%3.%4"/>
      <w:lvlJc w:val="left"/>
      <w:pPr>
        <w:tabs>
          <w:tab w:val="num" w:pos="964"/>
        </w:tabs>
        <w:ind w:left="964"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bullet"/>
      <w:lvlText w:val=""/>
      <w:lvlJc w:val="left"/>
      <w:pPr>
        <w:tabs>
          <w:tab w:val="num" w:pos="567"/>
        </w:tabs>
        <w:ind w:left="737" w:hanging="737"/>
      </w:pPr>
      <w:rPr>
        <w:rFonts w:ascii="Symbol" w:hAnsi="Symbol"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6"/>
  </w:num>
  <w:num w:numId="7">
    <w:abstractNumId w:val="12"/>
  </w:num>
  <w:num w:numId="8">
    <w:abstractNumId w:val="8"/>
  </w:num>
  <w:num w:numId="9">
    <w:abstractNumId w:val="15"/>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 w:numId="19">
    <w:abstractNumId w:val="8"/>
  </w:num>
  <w:num w:numId="20">
    <w:abstractNumId w:val="8"/>
  </w:num>
  <w:num w:numId="21">
    <w:abstractNumId w:val="8"/>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2"/>
  </w:num>
  <w:num w:numId="25">
    <w:abstractNumId w:val="8"/>
  </w:num>
  <w:num w:numId="26">
    <w:abstractNumId w:val="12"/>
  </w:num>
  <w:num w:numId="27">
    <w:abstractNumId w:val="12"/>
  </w:num>
  <w:num w:numId="28">
    <w:abstractNumId w:val="12"/>
  </w:num>
  <w:num w:numId="29">
    <w:abstractNumId w:val="12"/>
  </w:num>
  <w:num w:numId="30">
    <w:abstractNumId w:val="8"/>
  </w:num>
  <w:num w:numId="31">
    <w:abstractNumId w:val="0"/>
  </w:num>
  <w:num w:numId="32">
    <w:abstractNumId w:val="0"/>
  </w:num>
  <w:num w:numId="33">
    <w:abstractNumId w:val="0"/>
  </w:num>
  <w:num w:numId="34">
    <w:abstractNumId w:val="10"/>
  </w:num>
  <w:num w:numId="35">
    <w:abstractNumId w:val="8"/>
  </w:num>
  <w:num w:numId="36">
    <w:abstractNumId w:val="8"/>
  </w:num>
  <w:num w:numId="37">
    <w:abstractNumId w:val="12"/>
  </w:num>
  <w:num w:numId="38">
    <w:abstractNumId w:val="12"/>
  </w:num>
  <w:num w:numId="39">
    <w:abstractNumId w:val="0"/>
  </w:num>
  <w:num w:numId="40">
    <w:abstractNumId w:val="11"/>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8"/>
  </w:num>
  <w:num w:numId="47">
    <w:abstractNumId w:val="7"/>
  </w:num>
  <w:num w:numId="48">
    <w:abstractNumId w:val="4"/>
  </w:num>
  <w:num w:numId="4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6DBF"/>
    <w:rsid w:val="000174E8"/>
    <w:rsid w:val="00017F3C"/>
    <w:rsid w:val="00020AF4"/>
    <w:rsid w:val="0002621B"/>
    <w:rsid w:val="000338E9"/>
    <w:rsid w:val="0004024E"/>
    <w:rsid w:val="00040961"/>
    <w:rsid w:val="00041EC8"/>
    <w:rsid w:val="000466BC"/>
    <w:rsid w:val="00056038"/>
    <w:rsid w:val="0006499F"/>
    <w:rsid w:val="0006588D"/>
    <w:rsid w:val="00067A5E"/>
    <w:rsid w:val="00067EE3"/>
    <w:rsid w:val="00070A9E"/>
    <w:rsid w:val="00070F9A"/>
    <w:rsid w:val="000719BB"/>
    <w:rsid w:val="00072A65"/>
    <w:rsid w:val="00072C1E"/>
    <w:rsid w:val="00072CCC"/>
    <w:rsid w:val="00075902"/>
    <w:rsid w:val="00077596"/>
    <w:rsid w:val="000839DD"/>
    <w:rsid w:val="00084642"/>
    <w:rsid w:val="00087825"/>
    <w:rsid w:val="00092CC9"/>
    <w:rsid w:val="000A784D"/>
    <w:rsid w:val="000B4EB8"/>
    <w:rsid w:val="000B7E61"/>
    <w:rsid w:val="000C41F2"/>
    <w:rsid w:val="000C5CBA"/>
    <w:rsid w:val="000D0281"/>
    <w:rsid w:val="000D22C4"/>
    <w:rsid w:val="000D27D1"/>
    <w:rsid w:val="000D4EB8"/>
    <w:rsid w:val="000D5E72"/>
    <w:rsid w:val="000D6B89"/>
    <w:rsid w:val="000E125F"/>
    <w:rsid w:val="000E1A7F"/>
    <w:rsid w:val="000E48A0"/>
    <w:rsid w:val="00106A0E"/>
    <w:rsid w:val="00111DC1"/>
    <w:rsid w:val="00112864"/>
    <w:rsid w:val="00114472"/>
    <w:rsid w:val="00114988"/>
    <w:rsid w:val="00115069"/>
    <w:rsid w:val="001150F2"/>
    <w:rsid w:val="001159F2"/>
    <w:rsid w:val="0012178F"/>
    <w:rsid w:val="0013681E"/>
    <w:rsid w:val="00146BCB"/>
    <w:rsid w:val="00147827"/>
    <w:rsid w:val="00150978"/>
    <w:rsid w:val="0016521E"/>
    <w:rsid w:val="001656A2"/>
    <w:rsid w:val="00165E72"/>
    <w:rsid w:val="00170EC5"/>
    <w:rsid w:val="001728E7"/>
    <w:rsid w:val="001747C1"/>
    <w:rsid w:val="00176255"/>
    <w:rsid w:val="00177D6B"/>
    <w:rsid w:val="00184075"/>
    <w:rsid w:val="001867AA"/>
    <w:rsid w:val="00187E44"/>
    <w:rsid w:val="00190AC5"/>
    <w:rsid w:val="00191F90"/>
    <w:rsid w:val="00193D8F"/>
    <w:rsid w:val="001950C2"/>
    <w:rsid w:val="00195CAC"/>
    <w:rsid w:val="00197BDC"/>
    <w:rsid w:val="001B04B9"/>
    <w:rsid w:val="001B23A1"/>
    <w:rsid w:val="001B4E74"/>
    <w:rsid w:val="001C19F3"/>
    <w:rsid w:val="001C25D8"/>
    <w:rsid w:val="001C645F"/>
    <w:rsid w:val="001C761A"/>
    <w:rsid w:val="001D0E8B"/>
    <w:rsid w:val="001D6E71"/>
    <w:rsid w:val="001E651D"/>
    <w:rsid w:val="001E678E"/>
    <w:rsid w:val="001E75BD"/>
    <w:rsid w:val="001F15F6"/>
    <w:rsid w:val="001F5AF0"/>
    <w:rsid w:val="002071BB"/>
    <w:rsid w:val="00207DF5"/>
    <w:rsid w:val="00210AB8"/>
    <w:rsid w:val="002179EA"/>
    <w:rsid w:val="00221A1B"/>
    <w:rsid w:val="00231A0D"/>
    <w:rsid w:val="00233A53"/>
    <w:rsid w:val="002350CA"/>
    <w:rsid w:val="00240B81"/>
    <w:rsid w:val="0024255A"/>
    <w:rsid w:val="00247D01"/>
    <w:rsid w:val="0025030F"/>
    <w:rsid w:val="0025796E"/>
    <w:rsid w:val="00261A5B"/>
    <w:rsid w:val="00262AE4"/>
    <w:rsid w:val="00262E5B"/>
    <w:rsid w:val="0026385B"/>
    <w:rsid w:val="002769D2"/>
    <w:rsid w:val="00276AFE"/>
    <w:rsid w:val="002821CE"/>
    <w:rsid w:val="002924B8"/>
    <w:rsid w:val="002A3B57"/>
    <w:rsid w:val="002A4705"/>
    <w:rsid w:val="002A5F8F"/>
    <w:rsid w:val="002B1CBD"/>
    <w:rsid w:val="002C04EE"/>
    <w:rsid w:val="002C31BF"/>
    <w:rsid w:val="002C391B"/>
    <w:rsid w:val="002C5F8A"/>
    <w:rsid w:val="002D5F95"/>
    <w:rsid w:val="002D6136"/>
    <w:rsid w:val="002D7FD6"/>
    <w:rsid w:val="002E0CD7"/>
    <w:rsid w:val="002E0CFB"/>
    <w:rsid w:val="002E232C"/>
    <w:rsid w:val="002E5C7B"/>
    <w:rsid w:val="002F4333"/>
    <w:rsid w:val="003038E0"/>
    <w:rsid w:val="00304CE1"/>
    <w:rsid w:val="00307641"/>
    <w:rsid w:val="003119CD"/>
    <w:rsid w:val="00311F11"/>
    <w:rsid w:val="003120CA"/>
    <w:rsid w:val="00316901"/>
    <w:rsid w:val="00327047"/>
    <w:rsid w:val="00327EEF"/>
    <w:rsid w:val="0033239F"/>
    <w:rsid w:val="00333C1C"/>
    <w:rsid w:val="0034274B"/>
    <w:rsid w:val="003468DC"/>
    <w:rsid w:val="0034719F"/>
    <w:rsid w:val="00350A35"/>
    <w:rsid w:val="0035410B"/>
    <w:rsid w:val="0035531B"/>
    <w:rsid w:val="00355D2A"/>
    <w:rsid w:val="003571D8"/>
    <w:rsid w:val="00357BC6"/>
    <w:rsid w:val="00361422"/>
    <w:rsid w:val="003616E0"/>
    <w:rsid w:val="00361A66"/>
    <w:rsid w:val="0036288F"/>
    <w:rsid w:val="0036607A"/>
    <w:rsid w:val="003717A3"/>
    <w:rsid w:val="0037545D"/>
    <w:rsid w:val="003771EB"/>
    <w:rsid w:val="00381130"/>
    <w:rsid w:val="00381452"/>
    <w:rsid w:val="00381BF9"/>
    <w:rsid w:val="00386FF1"/>
    <w:rsid w:val="00390E38"/>
    <w:rsid w:val="00392730"/>
    <w:rsid w:val="00392EB6"/>
    <w:rsid w:val="00394D03"/>
    <w:rsid w:val="003956C6"/>
    <w:rsid w:val="003A2C23"/>
    <w:rsid w:val="003A4513"/>
    <w:rsid w:val="003A52AD"/>
    <w:rsid w:val="003A5938"/>
    <w:rsid w:val="003A681E"/>
    <w:rsid w:val="003C33F2"/>
    <w:rsid w:val="003D0CF7"/>
    <w:rsid w:val="003D756E"/>
    <w:rsid w:val="003E3CE3"/>
    <w:rsid w:val="003E420D"/>
    <w:rsid w:val="003E4C13"/>
    <w:rsid w:val="003E79F5"/>
    <w:rsid w:val="00403C99"/>
    <w:rsid w:val="00404BA2"/>
    <w:rsid w:val="004078F3"/>
    <w:rsid w:val="00410B6A"/>
    <w:rsid w:val="004137A8"/>
    <w:rsid w:val="00413F39"/>
    <w:rsid w:val="0042061D"/>
    <w:rsid w:val="00420999"/>
    <w:rsid w:val="00421C6A"/>
    <w:rsid w:val="00427794"/>
    <w:rsid w:val="004354CE"/>
    <w:rsid w:val="004373BF"/>
    <w:rsid w:val="004407F0"/>
    <w:rsid w:val="004423DC"/>
    <w:rsid w:val="00446757"/>
    <w:rsid w:val="00450F07"/>
    <w:rsid w:val="00452F69"/>
    <w:rsid w:val="00453CD3"/>
    <w:rsid w:val="00454716"/>
    <w:rsid w:val="00454BB9"/>
    <w:rsid w:val="00454F7F"/>
    <w:rsid w:val="00457346"/>
    <w:rsid w:val="00460660"/>
    <w:rsid w:val="0046348D"/>
    <w:rsid w:val="00464BA9"/>
    <w:rsid w:val="00465FDD"/>
    <w:rsid w:val="00470647"/>
    <w:rsid w:val="00474F4D"/>
    <w:rsid w:val="00482616"/>
    <w:rsid w:val="00483969"/>
    <w:rsid w:val="00486107"/>
    <w:rsid w:val="0048759A"/>
    <w:rsid w:val="00491827"/>
    <w:rsid w:val="004944E4"/>
    <w:rsid w:val="004B34E9"/>
    <w:rsid w:val="004B3824"/>
    <w:rsid w:val="004C06AD"/>
    <w:rsid w:val="004C4399"/>
    <w:rsid w:val="004C7419"/>
    <w:rsid w:val="004C787C"/>
    <w:rsid w:val="004D010F"/>
    <w:rsid w:val="004D5285"/>
    <w:rsid w:val="004D743F"/>
    <w:rsid w:val="004E7A1F"/>
    <w:rsid w:val="004F1D17"/>
    <w:rsid w:val="004F3EEF"/>
    <w:rsid w:val="004F4597"/>
    <w:rsid w:val="004F4B9B"/>
    <w:rsid w:val="004F7CDE"/>
    <w:rsid w:val="00501B32"/>
    <w:rsid w:val="00506269"/>
    <w:rsid w:val="0050666E"/>
    <w:rsid w:val="0051122E"/>
    <w:rsid w:val="00511AB9"/>
    <w:rsid w:val="005210B3"/>
    <w:rsid w:val="00523096"/>
    <w:rsid w:val="00523BB5"/>
    <w:rsid w:val="00523BDA"/>
    <w:rsid w:val="00523EA7"/>
    <w:rsid w:val="005406EB"/>
    <w:rsid w:val="00540C01"/>
    <w:rsid w:val="005434A6"/>
    <w:rsid w:val="00543F07"/>
    <w:rsid w:val="0054609D"/>
    <w:rsid w:val="00553375"/>
    <w:rsid w:val="005543C6"/>
    <w:rsid w:val="00555884"/>
    <w:rsid w:val="00561931"/>
    <w:rsid w:val="00561A0E"/>
    <w:rsid w:val="00564BCA"/>
    <w:rsid w:val="00564DDD"/>
    <w:rsid w:val="005650CA"/>
    <w:rsid w:val="00571DE2"/>
    <w:rsid w:val="00572B6C"/>
    <w:rsid w:val="00572F04"/>
    <w:rsid w:val="00572F11"/>
    <w:rsid w:val="005736B7"/>
    <w:rsid w:val="00575E5A"/>
    <w:rsid w:val="0057765F"/>
    <w:rsid w:val="00577A3C"/>
    <w:rsid w:val="00580245"/>
    <w:rsid w:val="005A1F44"/>
    <w:rsid w:val="005A3D2F"/>
    <w:rsid w:val="005B6DDE"/>
    <w:rsid w:val="005B73B8"/>
    <w:rsid w:val="005C3CAC"/>
    <w:rsid w:val="005D3964"/>
    <w:rsid w:val="005D3C39"/>
    <w:rsid w:val="005E6218"/>
    <w:rsid w:val="0060115D"/>
    <w:rsid w:val="00601A8C"/>
    <w:rsid w:val="006047A5"/>
    <w:rsid w:val="0061068E"/>
    <w:rsid w:val="006115D3"/>
    <w:rsid w:val="00613DA0"/>
    <w:rsid w:val="0062045C"/>
    <w:rsid w:val="00624EB2"/>
    <w:rsid w:val="0062741F"/>
    <w:rsid w:val="00627A39"/>
    <w:rsid w:val="00631633"/>
    <w:rsid w:val="00631EAA"/>
    <w:rsid w:val="00640B30"/>
    <w:rsid w:val="00644460"/>
    <w:rsid w:val="00646382"/>
    <w:rsid w:val="00652EFD"/>
    <w:rsid w:val="00655749"/>
    <w:rsid w:val="00655976"/>
    <w:rsid w:val="0065610E"/>
    <w:rsid w:val="00660AD3"/>
    <w:rsid w:val="00664669"/>
    <w:rsid w:val="00673F7D"/>
    <w:rsid w:val="00674099"/>
    <w:rsid w:val="006776B6"/>
    <w:rsid w:val="00680D0C"/>
    <w:rsid w:val="00693150"/>
    <w:rsid w:val="006A070D"/>
    <w:rsid w:val="006A14D0"/>
    <w:rsid w:val="006A540D"/>
    <w:rsid w:val="006A5570"/>
    <w:rsid w:val="006A689C"/>
    <w:rsid w:val="006B0B03"/>
    <w:rsid w:val="006B3D79"/>
    <w:rsid w:val="006B6FE4"/>
    <w:rsid w:val="006C21E8"/>
    <w:rsid w:val="006C2343"/>
    <w:rsid w:val="006C442A"/>
    <w:rsid w:val="006C4639"/>
    <w:rsid w:val="006E0578"/>
    <w:rsid w:val="006E314D"/>
    <w:rsid w:val="006E53F6"/>
    <w:rsid w:val="006E5405"/>
    <w:rsid w:val="006E750A"/>
    <w:rsid w:val="006F439C"/>
    <w:rsid w:val="006F6B09"/>
    <w:rsid w:val="0070255F"/>
    <w:rsid w:val="007038DC"/>
    <w:rsid w:val="00706F4C"/>
    <w:rsid w:val="0070752A"/>
    <w:rsid w:val="00710723"/>
    <w:rsid w:val="00711119"/>
    <w:rsid w:val="007134F3"/>
    <w:rsid w:val="00714759"/>
    <w:rsid w:val="00723ED1"/>
    <w:rsid w:val="007255EF"/>
    <w:rsid w:val="0073461B"/>
    <w:rsid w:val="007356BD"/>
    <w:rsid w:val="00735D3B"/>
    <w:rsid w:val="0073700B"/>
    <w:rsid w:val="00740AF5"/>
    <w:rsid w:val="00741294"/>
    <w:rsid w:val="00743525"/>
    <w:rsid w:val="00744F6A"/>
    <w:rsid w:val="00745555"/>
    <w:rsid w:val="007541A2"/>
    <w:rsid w:val="00755818"/>
    <w:rsid w:val="0076241C"/>
    <w:rsid w:val="0076286B"/>
    <w:rsid w:val="00763B51"/>
    <w:rsid w:val="00766846"/>
    <w:rsid w:val="00766F4A"/>
    <w:rsid w:val="0076790E"/>
    <w:rsid w:val="0077382B"/>
    <w:rsid w:val="00773DC0"/>
    <w:rsid w:val="00774789"/>
    <w:rsid w:val="0077673A"/>
    <w:rsid w:val="007846E1"/>
    <w:rsid w:val="007847D6"/>
    <w:rsid w:val="0078774D"/>
    <w:rsid w:val="00796DC1"/>
    <w:rsid w:val="007A2107"/>
    <w:rsid w:val="007A3B81"/>
    <w:rsid w:val="007A5172"/>
    <w:rsid w:val="007A67A0"/>
    <w:rsid w:val="007B570C"/>
    <w:rsid w:val="007C6F69"/>
    <w:rsid w:val="007D5A8D"/>
    <w:rsid w:val="007D63FC"/>
    <w:rsid w:val="007E2234"/>
    <w:rsid w:val="007E4A6E"/>
    <w:rsid w:val="007E4C6F"/>
    <w:rsid w:val="007E6155"/>
    <w:rsid w:val="007F15CE"/>
    <w:rsid w:val="007F3581"/>
    <w:rsid w:val="007F4826"/>
    <w:rsid w:val="007F4F8F"/>
    <w:rsid w:val="007F56A7"/>
    <w:rsid w:val="00800851"/>
    <w:rsid w:val="00803601"/>
    <w:rsid w:val="00804D39"/>
    <w:rsid w:val="0080737F"/>
    <w:rsid w:val="00807DD0"/>
    <w:rsid w:val="00815683"/>
    <w:rsid w:val="00815C1B"/>
    <w:rsid w:val="00821D01"/>
    <w:rsid w:val="00822B88"/>
    <w:rsid w:val="00826B7B"/>
    <w:rsid w:val="00831DE9"/>
    <w:rsid w:val="00833899"/>
    <w:rsid w:val="008458EB"/>
    <w:rsid w:val="00845C50"/>
    <w:rsid w:val="00846789"/>
    <w:rsid w:val="00872044"/>
    <w:rsid w:val="0087262B"/>
    <w:rsid w:val="00876D73"/>
    <w:rsid w:val="00887F36"/>
    <w:rsid w:val="00894F55"/>
    <w:rsid w:val="008A121B"/>
    <w:rsid w:val="008A1B78"/>
    <w:rsid w:val="008A3568"/>
    <w:rsid w:val="008B2021"/>
    <w:rsid w:val="008B4CEC"/>
    <w:rsid w:val="008B60F5"/>
    <w:rsid w:val="008C0335"/>
    <w:rsid w:val="008C385B"/>
    <w:rsid w:val="008C50F3"/>
    <w:rsid w:val="008C65BC"/>
    <w:rsid w:val="008C73C5"/>
    <w:rsid w:val="008C7EFE"/>
    <w:rsid w:val="008D01AC"/>
    <w:rsid w:val="008D03B9"/>
    <w:rsid w:val="008D2612"/>
    <w:rsid w:val="008D30C7"/>
    <w:rsid w:val="008D552B"/>
    <w:rsid w:val="008E1138"/>
    <w:rsid w:val="008E5DB4"/>
    <w:rsid w:val="008F18D6"/>
    <w:rsid w:val="008F2C9B"/>
    <w:rsid w:val="008F797B"/>
    <w:rsid w:val="00904780"/>
    <w:rsid w:val="0090635B"/>
    <w:rsid w:val="009179FA"/>
    <w:rsid w:val="00920DEB"/>
    <w:rsid w:val="00922385"/>
    <w:rsid w:val="009223DF"/>
    <w:rsid w:val="009307E2"/>
    <w:rsid w:val="00930B79"/>
    <w:rsid w:val="00936091"/>
    <w:rsid w:val="00940D8A"/>
    <w:rsid w:val="00941491"/>
    <w:rsid w:val="00962258"/>
    <w:rsid w:val="00964860"/>
    <w:rsid w:val="009678B7"/>
    <w:rsid w:val="00973456"/>
    <w:rsid w:val="009877C7"/>
    <w:rsid w:val="009913A2"/>
    <w:rsid w:val="00992D9C"/>
    <w:rsid w:val="009959F2"/>
    <w:rsid w:val="00996CB8"/>
    <w:rsid w:val="009A27BB"/>
    <w:rsid w:val="009B2E97"/>
    <w:rsid w:val="009B5146"/>
    <w:rsid w:val="009C0F4D"/>
    <w:rsid w:val="009C418E"/>
    <w:rsid w:val="009C442C"/>
    <w:rsid w:val="009C79AB"/>
    <w:rsid w:val="009D20A1"/>
    <w:rsid w:val="009E07F4"/>
    <w:rsid w:val="009E1482"/>
    <w:rsid w:val="009E1AEE"/>
    <w:rsid w:val="009E75F2"/>
    <w:rsid w:val="009F309B"/>
    <w:rsid w:val="009F392E"/>
    <w:rsid w:val="009F53C5"/>
    <w:rsid w:val="00A0209B"/>
    <w:rsid w:val="00A03282"/>
    <w:rsid w:val="00A066DE"/>
    <w:rsid w:val="00A0740E"/>
    <w:rsid w:val="00A12463"/>
    <w:rsid w:val="00A13A01"/>
    <w:rsid w:val="00A15641"/>
    <w:rsid w:val="00A315EF"/>
    <w:rsid w:val="00A32F3B"/>
    <w:rsid w:val="00A4050F"/>
    <w:rsid w:val="00A40C1B"/>
    <w:rsid w:val="00A43668"/>
    <w:rsid w:val="00A50641"/>
    <w:rsid w:val="00A51062"/>
    <w:rsid w:val="00A530BF"/>
    <w:rsid w:val="00A56A4F"/>
    <w:rsid w:val="00A56DEC"/>
    <w:rsid w:val="00A6177B"/>
    <w:rsid w:val="00A626D2"/>
    <w:rsid w:val="00A66136"/>
    <w:rsid w:val="00A71189"/>
    <w:rsid w:val="00A7364A"/>
    <w:rsid w:val="00A74DCC"/>
    <w:rsid w:val="00A753ED"/>
    <w:rsid w:val="00A77512"/>
    <w:rsid w:val="00A85121"/>
    <w:rsid w:val="00A87007"/>
    <w:rsid w:val="00A94C2F"/>
    <w:rsid w:val="00A95C0A"/>
    <w:rsid w:val="00AA3E17"/>
    <w:rsid w:val="00AA4CBB"/>
    <w:rsid w:val="00AA4EEF"/>
    <w:rsid w:val="00AA65FA"/>
    <w:rsid w:val="00AA7351"/>
    <w:rsid w:val="00AB1063"/>
    <w:rsid w:val="00AB4CB7"/>
    <w:rsid w:val="00AC07D3"/>
    <w:rsid w:val="00AD056F"/>
    <w:rsid w:val="00AD0C7B"/>
    <w:rsid w:val="00AD1771"/>
    <w:rsid w:val="00AD1786"/>
    <w:rsid w:val="00AD3565"/>
    <w:rsid w:val="00AD5F1A"/>
    <w:rsid w:val="00AD6731"/>
    <w:rsid w:val="00AD792A"/>
    <w:rsid w:val="00AE1D4A"/>
    <w:rsid w:val="00AE3BB4"/>
    <w:rsid w:val="00B008D5"/>
    <w:rsid w:val="00B02F73"/>
    <w:rsid w:val="00B035B6"/>
    <w:rsid w:val="00B0397E"/>
    <w:rsid w:val="00B03E98"/>
    <w:rsid w:val="00B0619F"/>
    <w:rsid w:val="00B13A26"/>
    <w:rsid w:val="00B15D0D"/>
    <w:rsid w:val="00B22106"/>
    <w:rsid w:val="00B2309B"/>
    <w:rsid w:val="00B339C1"/>
    <w:rsid w:val="00B33ABD"/>
    <w:rsid w:val="00B425A2"/>
    <w:rsid w:val="00B429CF"/>
    <w:rsid w:val="00B448FF"/>
    <w:rsid w:val="00B51E0F"/>
    <w:rsid w:val="00B52A86"/>
    <w:rsid w:val="00B5431A"/>
    <w:rsid w:val="00B60046"/>
    <w:rsid w:val="00B61530"/>
    <w:rsid w:val="00B645BC"/>
    <w:rsid w:val="00B70267"/>
    <w:rsid w:val="00B75EE1"/>
    <w:rsid w:val="00B77110"/>
    <w:rsid w:val="00B77481"/>
    <w:rsid w:val="00B77C6D"/>
    <w:rsid w:val="00B80E53"/>
    <w:rsid w:val="00B82A36"/>
    <w:rsid w:val="00B8518B"/>
    <w:rsid w:val="00B93DEB"/>
    <w:rsid w:val="00B96AA0"/>
    <w:rsid w:val="00B97CC3"/>
    <w:rsid w:val="00BB4AF2"/>
    <w:rsid w:val="00BC06C4"/>
    <w:rsid w:val="00BC2201"/>
    <w:rsid w:val="00BC26F6"/>
    <w:rsid w:val="00BC3CDD"/>
    <w:rsid w:val="00BC663E"/>
    <w:rsid w:val="00BC6D2B"/>
    <w:rsid w:val="00BD2F67"/>
    <w:rsid w:val="00BD4D07"/>
    <w:rsid w:val="00BD5A0E"/>
    <w:rsid w:val="00BD7E91"/>
    <w:rsid w:val="00BD7F0D"/>
    <w:rsid w:val="00BE49F4"/>
    <w:rsid w:val="00BF6640"/>
    <w:rsid w:val="00BF6AF2"/>
    <w:rsid w:val="00C02D0A"/>
    <w:rsid w:val="00C03A6E"/>
    <w:rsid w:val="00C226C0"/>
    <w:rsid w:val="00C235B9"/>
    <w:rsid w:val="00C26B03"/>
    <w:rsid w:val="00C33938"/>
    <w:rsid w:val="00C33CA6"/>
    <w:rsid w:val="00C35E33"/>
    <w:rsid w:val="00C429F0"/>
    <w:rsid w:val="00C42FE6"/>
    <w:rsid w:val="00C44F6A"/>
    <w:rsid w:val="00C55B48"/>
    <w:rsid w:val="00C57268"/>
    <w:rsid w:val="00C6198E"/>
    <w:rsid w:val="00C6654F"/>
    <w:rsid w:val="00C708EA"/>
    <w:rsid w:val="00C7216F"/>
    <w:rsid w:val="00C776E5"/>
    <w:rsid w:val="00C778A5"/>
    <w:rsid w:val="00C95162"/>
    <w:rsid w:val="00CB2B9A"/>
    <w:rsid w:val="00CB3151"/>
    <w:rsid w:val="00CB34EF"/>
    <w:rsid w:val="00CB51FD"/>
    <w:rsid w:val="00CB6A37"/>
    <w:rsid w:val="00CB7684"/>
    <w:rsid w:val="00CC16CC"/>
    <w:rsid w:val="00CC413F"/>
    <w:rsid w:val="00CC4380"/>
    <w:rsid w:val="00CC46FC"/>
    <w:rsid w:val="00CC7C8F"/>
    <w:rsid w:val="00CD1C73"/>
    <w:rsid w:val="00CD1FC4"/>
    <w:rsid w:val="00CE22D6"/>
    <w:rsid w:val="00CE693B"/>
    <w:rsid w:val="00CE7DE6"/>
    <w:rsid w:val="00CF06BF"/>
    <w:rsid w:val="00CF4237"/>
    <w:rsid w:val="00D01AF3"/>
    <w:rsid w:val="00D034A0"/>
    <w:rsid w:val="00D10973"/>
    <w:rsid w:val="00D10A2D"/>
    <w:rsid w:val="00D139AC"/>
    <w:rsid w:val="00D145E1"/>
    <w:rsid w:val="00D21061"/>
    <w:rsid w:val="00D21732"/>
    <w:rsid w:val="00D22913"/>
    <w:rsid w:val="00D25FC2"/>
    <w:rsid w:val="00D34384"/>
    <w:rsid w:val="00D37B14"/>
    <w:rsid w:val="00D4108E"/>
    <w:rsid w:val="00D474A0"/>
    <w:rsid w:val="00D57BFB"/>
    <w:rsid w:val="00D6163D"/>
    <w:rsid w:val="00D6259C"/>
    <w:rsid w:val="00D7399D"/>
    <w:rsid w:val="00D807B9"/>
    <w:rsid w:val="00D831A3"/>
    <w:rsid w:val="00D97BE3"/>
    <w:rsid w:val="00DA3711"/>
    <w:rsid w:val="00DA5214"/>
    <w:rsid w:val="00DB4342"/>
    <w:rsid w:val="00DB619A"/>
    <w:rsid w:val="00DC2C2E"/>
    <w:rsid w:val="00DD46F3"/>
    <w:rsid w:val="00DE51A5"/>
    <w:rsid w:val="00DE56F2"/>
    <w:rsid w:val="00DE62CE"/>
    <w:rsid w:val="00DE6A35"/>
    <w:rsid w:val="00DE7EB3"/>
    <w:rsid w:val="00DF116D"/>
    <w:rsid w:val="00E009D2"/>
    <w:rsid w:val="00E01EA1"/>
    <w:rsid w:val="00E16FF7"/>
    <w:rsid w:val="00E21614"/>
    <w:rsid w:val="00E22C30"/>
    <w:rsid w:val="00E265A4"/>
    <w:rsid w:val="00E26D68"/>
    <w:rsid w:val="00E437B0"/>
    <w:rsid w:val="00E44045"/>
    <w:rsid w:val="00E4520D"/>
    <w:rsid w:val="00E4799D"/>
    <w:rsid w:val="00E611EC"/>
    <w:rsid w:val="00E618C4"/>
    <w:rsid w:val="00E7218A"/>
    <w:rsid w:val="00E722F7"/>
    <w:rsid w:val="00E878EE"/>
    <w:rsid w:val="00E95FC3"/>
    <w:rsid w:val="00E96844"/>
    <w:rsid w:val="00EA6EC7"/>
    <w:rsid w:val="00EB0647"/>
    <w:rsid w:val="00EB104F"/>
    <w:rsid w:val="00EB138E"/>
    <w:rsid w:val="00EB282B"/>
    <w:rsid w:val="00EB46E5"/>
    <w:rsid w:val="00EB5D4D"/>
    <w:rsid w:val="00EB6882"/>
    <w:rsid w:val="00EC0A0A"/>
    <w:rsid w:val="00EC10AE"/>
    <w:rsid w:val="00EC24BB"/>
    <w:rsid w:val="00ED0703"/>
    <w:rsid w:val="00ED116C"/>
    <w:rsid w:val="00ED14BD"/>
    <w:rsid w:val="00ED50F3"/>
    <w:rsid w:val="00ED6360"/>
    <w:rsid w:val="00EE0656"/>
    <w:rsid w:val="00EE2244"/>
    <w:rsid w:val="00EE3C5F"/>
    <w:rsid w:val="00EE7882"/>
    <w:rsid w:val="00EF09E5"/>
    <w:rsid w:val="00EF360F"/>
    <w:rsid w:val="00EF6C64"/>
    <w:rsid w:val="00F016C7"/>
    <w:rsid w:val="00F03DA2"/>
    <w:rsid w:val="00F063DF"/>
    <w:rsid w:val="00F12DEC"/>
    <w:rsid w:val="00F1715C"/>
    <w:rsid w:val="00F17C45"/>
    <w:rsid w:val="00F17E8A"/>
    <w:rsid w:val="00F310F8"/>
    <w:rsid w:val="00F348C0"/>
    <w:rsid w:val="00F35939"/>
    <w:rsid w:val="00F40F8F"/>
    <w:rsid w:val="00F45607"/>
    <w:rsid w:val="00F46000"/>
    <w:rsid w:val="00F4722B"/>
    <w:rsid w:val="00F54432"/>
    <w:rsid w:val="00F569C6"/>
    <w:rsid w:val="00F659EB"/>
    <w:rsid w:val="00F6610C"/>
    <w:rsid w:val="00F678C9"/>
    <w:rsid w:val="00F86BA6"/>
    <w:rsid w:val="00F875E9"/>
    <w:rsid w:val="00F93589"/>
    <w:rsid w:val="00F93E20"/>
    <w:rsid w:val="00FB3994"/>
    <w:rsid w:val="00FB6342"/>
    <w:rsid w:val="00FB6AE4"/>
    <w:rsid w:val="00FB6F6A"/>
    <w:rsid w:val="00FC6389"/>
    <w:rsid w:val="00FC757D"/>
    <w:rsid w:val="00FD7B5E"/>
    <w:rsid w:val="00FE4333"/>
    <w:rsid w:val="00FE6AEC"/>
    <w:rsid w:val="00FF06A7"/>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45243"/>
  <w14:defaultImageDpi w14:val="32767"/>
  <w15:docId w15:val="{A3D0672D-9FFF-4887-9657-05FBD120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bold1">
    <w:name w:val="bold1"/>
    <w:basedOn w:val="Standardnpsmoodstavce"/>
    <w:rsid w:val="00506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B47A9C5-CCF1-4A10-A1B0-039FC480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1</Pages>
  <Words>16953</Words>
  <Characters>100025</Characters>
  <Application>Microsoft Office Word</Application>
  <DocSecurity>0</DocSecurity>
  <Lines>833</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10</cp:revision>
  <cp:lastPrinted>2020-10-16T07:01:00Z</cp:lastPrinted>
  <dcterms:created xsi:type="dcterms:W3CDTF">2020-10-16T04:59:00Z</dcterms:created>
  <dcterms:modified xsi:type="dcterms:W3CDTF">2020-10-16T07:02:00Z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